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F56" w:rsidRPr="00A365A5" w:rsidRDefault="008D5F56" w:rsidP="008D5F56">
      <w:pPr>
        <w:shd w:val="clear" w:color="auto" w:fill="FFFFFF"/>
        <w:spacing w:after="0" w:line="240" w:lineRule="auto"/>
        <w:rPr>
          <w:rFonts w:eastAsia="Times New Roman" w:cstheme="minorHAnsi"/>
          <w:b/>
          <w:bCs/>
          <w:lang w:eastAsia="tr-TR"/>
        </w:rPr>
      </w:pPr>
      <w:r w:rsidRPr="00A365A5">
        <w:rPr>
          <w:rFonts w:cstheme="minorHAnsi"/>
          <w:shd w:val="clear" w:color="auto" w:fill="FFFFFF"/>
        </w:rPr>
        <w:t>Resmi Gazete Tarihi: 17.06.2011 Resmi Gazete Sayısı: 27967</w:t>
      </w:r>
    </w:p>
    <w:p w:rsidR="008D5F56" w:rsidRPr="00A365A5" w:rsidRDefault="008D5F56" w:rsidP="008D5F56">
      <w:pPr>
        <w:shd w:val="clear" w:color="auto" w:fill="FFFFFF"/>
        <w:spacing w:after="0" w:line="240" w:lineRule="auto"/>
        <w:ind w:firstLine="567"/>
        <w:jc w:val="center"/>
        <w:rPr>
          <w:rFonts w:eastAsia="Times New Roman" w:cstheme="minorHAnsi"/>
          <w:b/>
          <w:bCs/>
          <w:lang w:eastAsia="tr-TR"/>
        </w:rPr>
      </w:pPr>
    </w:p>
    <w:p w:rsidR="00305E10" w:rsidRPr="00A365A5" w:rsidRDefault="00305E10" w:rsidP="00305E10">
      <w:pPr>
        <w:shd w:val="clear" w:color="auto" w:fill="FFFFFF"/>
        <w:spacing w:after="0" w:line="300" w:lineRule="atLeast"/>
        <w:ind w:firstLine="567"/>
        <w:jc w:val="center"/>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BAZI TEHLİKESİZ ATIKLARIN GERİ KAZANIMI TEBLİĞİ</w:t>
      </w:r>
    </w:p>
    <w:p w:rsidR="00305E10" w:rsidRPr="00A365A5" w:rsidRDefault="00305E10" w:rsidP="00305E10">
      <w:pPr>
        <w:shd w:val="clear" w:color="auto" w:fill="FFFFFF"/>
        <w:spacing w:after="0" w:line="300" w:lineRule="atLeast"/>
        <w:ind w:firstLine="567"/>
        <w:jc w:val="center"/>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 </w:t>
      </w:r>
    </w:p>
    <w:p w:rsidR="00305E10" w:rsidRPr="00A365A5" w:rsidRDefault="00305E10" w:rsidP="00305E10">
      <w:pPr>
        <w:shd w:val="clear" w:color="auto" w:fill="FFFFFF"/>
        <w:spacing w:after="0" w:line="300" w:lineRule="atLeast"/>
        <w:ind w:firstLine="567"/>
        <w:jc w:val="center"/>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BİRİNCİ BÖLÜM</w:t>
      </w:r>
    </w:p>
    <w:p w:rsidR="00305E10" w:rsidRPr="00A365A5" w:rsidRDefault="00305E10" w:rsidP="00305E10">
      <w:pPr>
        <w:shd w:val="clear" w:color="auto" w:fill="FFFFFF"/>
        <w:spacing w:after="0" w:line="300" w:lineRule="atLeast"/>
        <w:ind w:firstLine="567"/>
        <w:jc w:val="center"/>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Genel Hükümler</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Amaç</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MADDE 1</w:t>
      </w:r>
      <w:r w:rsidRPr="00A365A5">
        <w:rPr>
          <w:rFonts w:ascii="Calibri" w:eastAsia="Times New Roman" w:hAnsi="Calibri" w:cs="Calibri"/>
          <w:lang w:eastAsia="tr-TR"/>
        </w:rPr>
        <w:t> – (1) Bu Tebliğin maksadı, bir faaliyet sonucunda ortaya çıkan bazı tehlikesiz atıkların çevreye olabilecek olumsuz etkilerinin en aza indirilmesi, atık miktarının azaltılması, geçici depolanması, geri kazanım tesislerinin kurulması ve bu tesislerin çevreyle uyumlu yönetiminin sağlanmasına yönelik prensip, politika ve programların belirlenmesi için gerekli idari ve teknik esasların düzenlenmesidir.</w:t>
      </w:r>
    </w:p>
    <w:p w:rsidR="00305E10" w:rsidRPr="00A365A5" w:rsidRDefault="00305E10" w:rsidP="00305E10">
      <w:pPr>
        <w:shd w:val="clear" w:color="auto" w:fill="FFFFFF"/>
        <w:spacing w:after="0" w:line="300" w:lineRule="atLeast"/>
        <w:ind w:firstLine="567"/>
        <w:jc w:val="both"/>
        <w:rPr>
          <w:rFonts w:ascii="Calibri" w:eastAsia="Times New Roman" w:hAnsi="Calibri" w:cs="Calibri"/>
          <w:b/>
          <w:bCs/>
          <w:lang w:eastAsia="tr-TR"/>
        </w:rPr>
      </w:pP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Kapsam</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MADDE 2</w:t>
      </w:r>
      <w:r w:rsidRPr="00A365A5">
        <w:rPr>
          <w:rFonts w:ascii="Calibri" w:eastAsia="Times New Roman" w:hAnsi="Calibri" w:cs="Calibri"/>
          <w:lang w:eastAsia="tr-TR"/>
        </w:rPr>
        <w:t> – (1) Bu Tebliğ; sınaî ve ticarî faaliyetlerden, üretim tesislerinden ve ürünlerin kullanımından kaynaklanan ve 5/7/2008 tarihli ve 26927 sayılı Resmî Gazete’de yayımlanan Atık Yönetimi Genel Esaslarına İlişkin Yönetmeliğin EK-IV’ünde sunulan Atık Listesinde yer alan bazı tehlikesiz atıkların toplanması, ayrılması, geçici depolanması, geri kazanılması, yeniden kullanılması ve değerlendirilmesine ilişkin esasları kapsar.</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(2) Bu Tebliğ hükümleri;</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a) Tebliğin Ek-2’ sinde yer alan tehlikesiz atıkları,</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b) Madenlerin aranması, çıkarılması, işletilmesi, fiziki ve kimyasal işleme tabi tutulması sırasında ortaya çıkan atıkları,</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kapsamaz.</w:t>
      </w:r>
    </w:p>
    <w:p w:rsidR="00305E10" w:rsidRPr="00A365A5" w:rsidRDefault="00305E10" w:rsidP="00305E10">
      <w:pPr>
        <w:shd w:val="clear" w:color="auto" w:fill="FFFFFF"/>
        <w:spacing w:after="0" w:line="300" w:lineRule="atLeast"/>
        <w:ind w:firstLine="567"/>
        <w:jc w:val="both"/>
        <w:rPr>
          <w:rFonts w:ascii="Calibri" w:eastAsia="Times New Roman" w:hAnsi="Calibri" w:cs="Calibri"/>
          <w:b/>
          <w:bCs/>
          <w:lang w:eastAsia="tr-TR"/>
        </w:rPr>
      </w:pP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Dayanak</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MADDE 3</w:t>
      </w:r>
      <w:r w:rsidRPr="00A365A5">
        <w:rPr>
          <w:rFonts w:ascii="Calibri" w:eastAsia="Times New Roman" w:hAnsi="Calibri" w:cs="Calibri"/>
          <w:lang w:eastAsia="tr-TR"/>
        </w:rPr>
        <w:t> –</w:t>
      </w:r>
      <w:r w:rsidRPr="00A365A5">
        <w:rPr>
          <w:rFonts w:ascii="Calibri" w:eastAsia="Times New Roman" w:hAnsi="Calibri" w:cs="Calibri"/>
          <w:b/>
          <w:bCs/>
          <w:lang w:eastAsia="tr-TR"/>
        </w:rPr>
        <w:t>(Değişik:RG-11/3/2015-29292)</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 (1) Bu Tebliğ; Atık Yönetimi Genel Esaslarına İlişkin Yönetmelik ve 10/9/2014 tarihli ve 29115 sayılı Resmî Gazete’de yayımlanan Çevre İzin ve Lisans Yönetmeliği esaslarına dayanılarak hazırlanmıştır.</w:t>
      </w:r>
    </w:p>
    <w:p w:rsidR="00305E10" w:rsidRPr="00A365A5" w:rsidRDefault="00305E10" w:rsidP="00305E10">
      <w:pPr>
        <w:shd w:val="clear" w:color="auto" w:fill="FFFFFF"/>
        <w:spacing w:after="0" w:line="300" w:lineRule="atLeast"/>
        <w:ind w:firstLine="567"/>
        <w:jc w:val="both"/>
        <w:rPr>
          <w:rFonts w:ascii="Calibri" w:eastAsia="Times New Roman" w:hAnsi="Calibri" w:cs="Calibri"/>
          <w:b/>
          <w:bCs/>
          <w:lang w:eastAsia="tr-TR"/>
        </w:rPr>
      </w:pPr>
      <w:bookmarkStart w:id="0" w:name="_GoBack"/>
      <w:bookmarkEnd w:id="0"/>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Tanımlar</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MADDE 4</w:t>
      </w:r>
      <w:r w:rsidRPr="00A365A5">
        <w:rPr>
          <w:rFonts w:ascii="Calibri" w:eastAsia="Times New Roman" w:hAnsi="Calibri" w:cs="Calibri"/>
          <w:lang w:eastAsia="tr-TR"/>
        </w:rPr>
        <w:t> – (1) Bu Tebliğ kapsamında;</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a) Atık beyan formu: Atık üreticileri tarafından doldurulması gereken internet tabanlı programda yer alan formu,</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b)</w:t>
      </w:r>
      <w:r w:rsidRPr="00A365A5">
        <w:rPr>
          <w:rFonts w:ascii="Calibri" w:eastAsia="Times New Roman" w:hAnsi="Calibri" w:cs="Calibri"/>
          <w:b/>
          <w:bCs/>
          <w:lang w:eastAsia="tr-TR"/>
        </w:rPr>
        <w:t> (Değişik:RG-11/3/2015-29292)</w:t>
      </w:r>
      <w:r w:rsidRPr="00A365A5">
        <w:rPr>
          <w:rFonts w:ascii="Calibri" w:eastAsia="Times New Roman" w:hAnsi="Calibri" w:cs="Calibri"/>
          <w:lang w:eastAsia="tr-TR"/>
        </w:rPr>
        <w:t> Bakanlık: Çevre ve Şehircilik Bakanlığını,</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c) </w:t>
      </w:r>
      <w:r w:rsidRPr="00A365A5">
        <w:rPr>
          <w:rFonts w:ascii="Calibri" w:eastAsia="Times New Roman" w:hAnsi="Calibri" w:cs="Calibri"/>
          <w:b/>
          <w:bCs/>
          <w:lang w:eastAsia="tr-TR"/>
        </w:rPr>
        <w:t>(Değişik:RG-11/3/2015-29292) </w:t>
      </w:r>
      <w:r w:rsidRPr="00A365A5">
        <w:rPr>
          <w:rFonts w:ascii="Calibri" w:eastAsia="Times New Roman" w:hAnsi="Calibri" w:cs="Calibri"/>
          <w:lang w:eastAsia="tr-TR"/>
        </w:rPr>
        <w:t>Çevre lisansı: Çevre İzin ve Lisans Yönetmeliğinde yer alan çevre lisansını,</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ç) Geçici depolama alanı: Atıkların üretici tarafından geri kazanım/bertaraf tesisine gönderilinceye kadar tesis içinde geçici olarak biriktirildiği alanı,</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d) Geri kazanım: Atık Yönetimi Genel Esaslarına İlişkin Yönetmeliğin EK-II B’sinde yer alan işlemlerden herhangi birisini,</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e) </w:t>
      </w:r>
      <w:r w:rsidRPr="00A365A5">
        <w:rPr>
          <w:rFonts w:ascii="Calibri" w:eastAsia="Times New Roman" w:hAnsi="Calibri" w:cs="Calibri"/>
          <w:b/>
          <w:bCs/>
          <w:lang w:eastAsia="tr-TR"/>
        </w:rPr>
        <w:t>(Mülga:RG-1/10/2013-28782)</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f) İşletmeci: Geri kazanım tesisinin işletilmesinden sorumlu özel ya da tüzel kişiyi,</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g) Kanun: 2872 sayılı Çevre Kanununu,</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ğ) Tehlikesiz atık: Atık Yönetimi Genel Esaslarına İlişkin Yönetmeliğin EK-IV’ünde (*) ile işaretlenmemiş atıkları,</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lastRenderedPageBreak/>
        <w:t>h) </w:t>
      </w:r>
      <w:r w:rsidRPr="00A365A5">
        <w:rPr>
          <w:rFonts w:ascii="Calibri" w:eastAsia="Times New Roman" w:hAnsi="Calibri" w:cs="Calibri"/>
          <w:b/>
          <w:bCs/>
          <w:lang w:eastAsia="tr-TR"/>
        </w:rPr>
        <w:t>(Değişik:RG-1/10/2013-28782) </w:t>
      </w:r>
      <w:r w:rsidRPr="00A365A5">
        <w:rPr>
          <w:rFonts w:ascii="Calibri" w:eastAsia="Times New Roman" w:hAnsi="Calibri" w:cs="Calibri"/>
          <w:lang w:eastAsia="tr-TR"/>
        </w:rPr>
        <w:t>Toplama-ayırma tesisi: Tehlikesiz atıkların tesis içinde yapılan biriktirmeler hariç olmak üzere toplandığı, ayrıldığı ve fiziksel işlemlerin de uygulanabildiği tesisi,</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ı) Atık üreticisi: Faaliyetleri sonucu tehlikesiz atık oluşumuna sebep olan kişi ve/veya tehlikesiz atığın bileşiminde veya yapısında bir değişikliğe sebep olacak ön işlem, karıştırma veya diğer işlemleri yapan gerçek veya tüzel kişiyi,</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i) </w:t>
      </w:r>
      <w:r w:rsidRPr="00A365A5">
        <w:rPr>
          <w:rFonts w:ascii="Calibri" w:eastAsia="Times New Roman" w:hAnsi="Calibri" w:cs="Calibri"/>
          <w:b/>
          <w:bCs/>
          <w:lang w:eastAsia="tr-TR"/>
        </w:rPr>
        <w:t>(Ek:RG-11/3/2015-29292) </w:t>
      </w:r>
      <w:r w:rsidRPr="00A365A5">
        <w:rPr>
          <w:rFonts w:ascii="Calibri" w:eastAsia="Times New Roman" w:hAnsi="Calibri" w:cs="Calibri"/>
          <w:lang w:eastAsia="tr-TR"/>
        </w:rPr>
        <w:t>İl müdürlüğü: Çevre ve Şehircilik İl Müdürlüğünü,</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ifade eder.</w:t>
      </w:r>
    </w:p>
    <w:p w:rsidR="00305E10" w:rsidRPr="00A365A5" w:rsidRDefault="00305E10" w:rsidP="00305E10">
      <w:pPr>
        <w:shd w:val="clear" w:color="auto" w:fill="FFFFFF"/>
        <w:spacing w:after="0" w:line="300" w:lineRule="atLeast"/>
        <w:ind w:firstLine="567"/>
        <w:jc w:val="both"/>
        <w:rPr>
          <w:rFonts w:ascii="Calibri" w:eastAsia="Times New Roman" w:hAnsi="Calibri" w:cs="Calibri"/>
          <w:b/>
          <w:bCs/>
          <w:lang w:eastAsia="tr-TR"/>
        </w:rPr>
      </w:pP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Genel esaslar</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MADDE 5</w:t>
      </w:r>
      <w:r w:rsidRPr="00A365A5">
        <w:rPr>
          <w:rFonts w:ascii="Calibri" w:eastAsia="Times New Roman" w:hAnsi="Calibri" w:cs="Calibri"/>
          <w:lang w:eastAsia="tr-TR"/>
        </w:rPr>
        <w:t> – (1) Tehlikesiz atıkların, ekonomiye katkı sağlamak ve nihaî bertarafa gidecek atık miktarının azaltılması amacıyla geri kazanılması esastır.</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(2) Tehlikesiz atıkların geri kazanımı bu Tebliğde belirtilen usul ve esaslara göre yapılır.</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(3) Tehlikesiz atıkların Bakanlığın çevre lisansı verdiği tesisler dışında geri kazanımı yasaktır.</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(4) Geri kazanımı mümkün olmayan atıklar, Atık Yönetimi Genel Esaslarına İlişkin Yönetmeliğin Ek II-A’sı kapsamında belirtilen yöntemlerden biriyle bertaraf edilir.</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 </w:t>
      </w:r>
    </w:p>
    <w:p w:rsidR="00305E10" w:rsidRPr="00A365A5" w:rsidRDefault="00305E10" w:rsidP="00305E10">
      <w:pPr>
        <w:shd w:val="clear" w:color="auto" w:fill="FFFFFF"/>
        <w:spacing w:after="0" w:line="300" w:lineRule="atLeast"/>
        <w:ind w:firstLine="567"/>
        <w:jc w:val="center"/>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İKİNCİ BÖLÜM</w:t>
      </w:r>
    </w:p>
    <w:p w:rsidR="00305E10" w:rsidRPr="00A365A5" w:rsidRDefault="00305E10" w:rsidP="00305E10">
      <w:pPr>
        <w:shd w:val="clear" w:color="auto" w:fill="FFFFFF"/>
        <w:spacing w:after="0" w:line="300" w:lineRule="atLeast"/>
        <w:ind w:firstLine="567"/>
        <w:jc w:val="center"/>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Görev, Yetki ve Sorumluluklar</w:t>
      </w:r>
    </w:p>
    <w:p w:rsidR="00305E10" w:rsidRPr="00A365A5" w:rsidRDefault="00305E10" w:rsidP="00305E10">
      <w:pPr>
        <w:shd w:val="clear" w:color="auto" w:fill="FFFFFF"/>
        <w:spacing w:after="0" w:line="300" w:lineRule="atLeast"/>
        <w:ind w:firstLine="567"/>
        <w:jc w:val="both"/>
        <w:rPr>
          <w:rFonts w:ascii="Calibri" w:eastAsia="Times New Roman" w:hAnsi="Calibri" w:cs="Calibri"/>
          <w:b/>
          <w:bCs/>
          <w:lang w:eastAsia="tr-TR"/>
        </w:rPr>
      </w:pP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Bakanlığın görev ve yetkileri</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MADDE 6</w:t>
      </w:r>
      <w:r w:rsidRPr="00A365A5">
        <w:rPr>
          <w:rFonts w:ascii="Calibri" w:eastAsia="Times New Roman" w:hAnsi="Calibri" w:cs="Calibri"/>
          <w:lang w:eastAsia="tr-TR"/>
        </w:rPr>
        <w:t> – (1) Bakanlık;</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a) Tehlikesiz atıkların çevreyle uyumlu bir şekilde yönetimini sağlayan program ve politikaları belirlemekle, bu Tebliğin uygulanmasına yönelik işbirliği ve koordinasyonu sağlamakla,</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b) Tehlikesiz atıkların geri kazanımına yönelik ulusal tehlikesiz atık yönetim planı hazırlamak veya hazırlatmakla ve halkın bilgilenmesini sağlamakla,</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c) Tehlikesiz atıkların çevreyle uyumlu bir şekilde geri kazanımına yönelik yönetimine ilişkin teknoloji ve yönetim sistemlerinin kurulmasında ulusal ve uluslararası koordinasyonu sağlamakla,</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ç) Atık beyan formunun doldurulmasını sağlayacak internet tabanlı programı hazırlamak/hazırlatmak ve programın kullanım esaslarını belirlemekle,</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yükümlüdür.</w:t>
      </w:r>
    </w:p>
    <w:p w:rsidR="00305E10" w:rsidRPr="00A365A5" w:rsidRDefault="00305E10" w:rsidP="00305E10">
      <w:pPr>
        <w:shd w:val="clear" w:color="auto" w:fill="FFFFFF"/>
        <w:spacing w:after="0" w:line="300" w:lineRule="atLeast"/>
        <w:ind w:firstLine="567"/>
        <w:jc w:val="both"/>
        <w:rPr>
          <w:rFonts w:ascii="Calibri" w:eastAsia="Times New Roman" w:hAnsi="Calibri" w:cs="Calibri"/>
          <w:b/>
          <w:bCs/>
          <w:lang w:eastAsia="tr-TR"/>
        </w:rPr>
      </w:pP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İl müdürlüklerinin görev ve yükümlülükleri (Değişik başlık:RG-11/3/2015-29292)</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MADDE 7</w:t>
      </w:r>
      <w:r w:rsidRPr="00A365A5">
        <w:rPr>
          <w:rFonts w:ascii="Calibri" w:eastAsia="Times New Roman" w:hAnsi="Calibri" w:cs="Calibri"/>
          <w:lang w:eastAsia="tr-TR"/>
        </w:rPr>
        <w:t> – (1)</w:t>
      </w:r>
      <w:r w:rsidRPr="00A365A5">
        <w:rPr>
          <w:rFonts w:ascii="Calibri" w:eastAsia="Times New Roman" w:hAnsi="Calibri" w:cs="Calibri"/>
          <w:b/>
          <w:bCs/>
          <w:lang w:eastAsia="tr-TR"/>
        </w:rPr>
        <w:t> (Değişik ibare:RG-11/3/2015-29292)</w:t>
      </w:r>
      <w:r w:rsidRPr="00A365A5">
        <w:rPr>
          <w:rFonts w:ascii="Calibri" w:eastAsia="Times New Roman" w:hAnsi="Calibri" w:cs="Calibri"/>
          <w:lang w:eastAsia="tr-TR"/>
        </w:rPr>
        <w:t> </w:t>
      </w:r>
      <w:r w:rsidRPr="00A365A5">
        <w:rPr>
          <w:rFonts w:ascii="Calibri" w:eastAsia="Times New Roman" w:hAnsi="Calibri" w:cs="Calibri"/>
          <w:u w:val="single"/>
          <w:lang w:eastAsia="tr-TR"/>
        </w:rPr>
        <w:t>İl Müdürlükleri</w:t>
      </w:r>
      <w:r w:rsidRPr="00A365A5">
        <w:rPr>
          <w:rFonts w:ascii="Calibri" w:eastAsia="Times New Roman" w:hAnsi="Calibri" w:cs="Calibri"/>
          <w:lang w:eastAsia="tr-TR"/>
        </w:rPr>
        <w:t>;</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a) Atık üreticisinin tesisinden kaynaklanan tehlikesiz atıklarının geri kazanımına yönelik hazırlamış olduğu atık yönetim planlarını değerlendirmek, hazırlanan yönetim planlarının uygulanmasını sağlamakla,</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b) Atık üreticisinin tehlikesiz atıklarını geri kazanıma kadar bir yılı geçmemek üzere bu Tebliğin 10 uncu maddesinde düzenlenen tehlikesiz atık geçici depolama şartlarına uygunluğunu kontrol etmekle ve bu faaliyetleri denetlemekle,</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c) İl sınırları içinde bulunan tehlikesiz atık geri kazanım tesislerinin Bakanlıkça verilen çevre lisansı belgelerindeki koşullar doğrultusunda işletilmelerini sağlamak, bu maksatla gerekli denetimleri yapmak, tesislerin bilgi, belge ve teknik raporlarını düzenli olarak kontrol etmek, değerlendirmek ve Bakanlığa rapor etmek, tesisin çevre lisansı şartlarına uygun çalışmadığının tespiti halinde gerekli yasal işlemleri yapmak ve Bakanlığa bilgi vermekle,</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ç) Üreticilerin göndermekle yükümlü olduğu bir önceki yılın bilgilerini içeren atık beyan formunu takip eden yılın en geç Nisan ayına kadar değerlendirmek ve  gerekli düzeltmelerin yapılmasını sağlamakla,</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lastRenderedPageBreak/>
        <w:t>d) Tehlikesiz atık toplama-ayırma işini yapanlara 12 nci maddede belirtilen şartları taşıdığına dair belge düzenlemekle,</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yükümlüdür.</w:t>
      </w:r>
    </w:p>
    <w:p w:rsidR="00305E10" w:rsidRPr="00A365A5" w:rsidRDefault="00305E10" w:rsidP="00305E10">
      <w:pPr>
        <w:shd w:val="clear" w:color="auto" w:fill="FFFFFF"/>
        <w:spacing w:after="0" w:line="300" w:lineRule="atLeast"/>
        <w:ind w:firstLine="567"/>
        <w:jc w:val="both"/>
        <w:rPr>
          <w:rFonts w:ascii="Calibri" w:eastAsia="Times New Roman" w:hAnsi="Calibri" w:cs="Calibri"/>
          <w:b/>
          <w:bCs/>
          <w:lang w:eastAsia="tr-TR"/>
        </w:rPr>
      </w:pP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Tehlikesiz atık üreticisinin yükümlülükleri</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MADDE 8</w:t>
      </w:r>
      <w:r w:rsidRPr="00A365A5">
        <w:rPr>
          <w:rFonts w:ascii="Calibri" w:eastAsia="Times New Roman" w:hAnsi="Calibri" w:cs="Calibri"/>
          <w:lang w:eastAsia="tr-TR"/>
        </w:rPr>
        <w:t> – (1) Tehlikesiz atık üreticisi;</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a)</w:t>
      </w:r>
      <w:r w:rsidRPr="00A365A5">
        <w:rPr>
          <w:rFonts w:ascii="Calibri" w:eastAsia="Times New Roman" w:hAnsi="Calibri" w:cs="Calibri"/>
          <w:b/>
          <w:bCs/>
          <w:lang w:eastAsia="tr-TR"/>
        </w:rPr>
        <w:t> (Değişik:RG-11/3/2015-29292)</w:t>
      </w:r>
      <w:r w:rsidRPr="00A365A5">
        <w:rPr>
          <w:rFonts w:ascii="Calibri" w:eastAsia="Times New Roman" w:hAnsi="Calibri" w:cs="Calibri"/>
          <w:lang w:eastAsia="tr-TR"/>
        </w:rPr>
        <w:t>  Tehlikesiz atık üretimini en az seviyeye indirecek şekilde gerekli tedbirleri almak, tesisinden kaynaklanan tehlikesiz atıkların geri kazanımına yönelik olarak hazırladıkları üç yıllık atık yönetim planını il müdürlüğüne sunmakla ve hazırlanan yönetim planını uygulamakla,</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b) Tehlikesiz atıklarını tesis sınırları içinde veya sanayi bölgelerinde belirlenecek alanlarda, sızdırmaz, emniyetli konteynır ve benzeri içerisinde veya geçirimsizliği sağlanmış alanlarda birbiriyle karıştırmadan ve tehlikeli atıklardan ayrı geçici olarak muhafaza etmekle, atıkların muhafaza edildiği kapların üzerinde tehlikesiz atık ibaresi ve atık koduna yer verecek şekilde bu Tebliğin 10 uncu maddesinde istenilen şartlara uygun olarak geçici depolamakla,</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c) </w:t>
      </w:r>
      <w:r w:rsidRPr="00A365A5">
        <w:rPr>
          <w:rFonts w:ascii="Calibri" w:eastAsia="Times New Roman" w:hAnsi="Calibri" w:cs="Calibri"/>
          <w:b/>
          <w:bCs/>
          <w:lang w:eastAsia="tr-TR"/>
        </w:rPr>
        <w:t>(Değişik:RG-11/3/2015-29292)</w:t>
      </w:r>
      <w:r w:rsidRPr="00A365A5">
        <w:rPr>
          <w:rFonts w:ascii="Calibri" w:eastAsia="Times New Roman" w:hAnsi="Calibri" w:cs="Calibri"/>
          <w:lang w:eastAsia="tr-TR"/>
        </w:rPr>
        <w:t>  Tehlikesiz atıklarını çevre izin/lisansına sahip geri kazanım tesislerine göndermekle veya çevre izin/lisanslı tesislere gönderilmek üzere il müdürlüklerinden 7 nci maddenin birinci fıkrasının (d) bendi kapsamında belge alanlara vermekle,</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 ç) Tehlikesiz atık beyan formunu, her yıl takip eden yılın en geç Mart ayı sonuna kadar bir önceki yıla ait bilgileri içerecek şekilde Bakanlıkça hazırlanan internet tabanlı programı kullanarak doldurmak, onaylamak, çıktısını almak ve beş yıl boyunca bir nüshasını saklamakla,</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d) </w:t>
      </w:r>
      <w:r w:rsidRPr="00A365A5">
        <w:rPr>
          <w:rFonts w:ascii="Calibri" w:eastAsia="Times New Roman" w:hAnsi="Calibri" w:cs="Calibri"/>
          <w:b/>
          <w:bCs/>
          <w:lang w:eastAsia="tr-TR"/>
        </w:rPr>
        <w:t>(Değişik:RG-11/3/2015-29292)</w:t>
      </w:r>
      <w:r w:rsidRPr="00A365A5">
        <w:rPr>
          <w:rFonts w:ascii="Calibri" w:eastAsia="Times New Roman" w:hAnsi="Calibri" w:cs="Calibri"/>
          <w:lang w:eastAsia="tr-TR"/>
        </w:rPr>
        <w:t>  Tehlikesiz atıkların kaza sonucu veya kasti olarak dökülmesi ve bunun gibi olaylar sonucu meydana gelen kirliliğin önlenmesi amacıyla il müdürlüğüne bilgi vermekle, atığın türüne bağlı olarak olayın olduğu andan itibaren en geç bir ay içinde olay yerinin eski haline getirilmesini sağlamak ve bununla ilgili tüm harcamaları karşılamakla,</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 yükümlüdür.</w:t>
      </w:r>
    </w:p>
    <w:p w:rsidR="00305E10" w:rsidRPr="00A365A5" w:rsidRDefault="00305E10" w:rsidP="00305E10">
      <w:pPr>
        <w:shd w:val="clear" w:color="auto" w:fill="FFFFFF"/>
        <w:spacing w:after="0" w:line="300" w:lineRule="atLeast"/>
        <w:ind w:firstLine="567"/>
        <w:jc w:val="both"/>
        <w:rPr>
          <w:rFonts w:ascii="Calibri" w:eastAsia="Times New Roman" w:hAnsi="Calibri" w:cs="Calibri"/>
          <w:b/>
          <w:bCs/>
          <w:lang w:eastAsia="tr-TR"/>
        </w:rPr>
      </w:pP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Tehlikesiz atık geri kazanım tesisi işletenin yükümlülükleri</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MADDE 9</w:t>
      </w:r>
      <w:r w:rsidRPr="00A365A5">
        <w:rPr>
          <w:rFonts w:ascii="Calibri" w:eastAsia="Times New Roman" w:hAnsi="Calibri" w:cs="Calibri"/>
          <w:lang w:eastAsia="tr-TR"/>
        </w:rPr>
        <w:t> – (1) Geri kazanım tesisi işleten gerçek veya tüzel kişiler;</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a) Tesislerini bu Tebliğde belirlenen standartlara uygun hale getirmekle, bu maksatla çevre lisansı almakla,</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b) </w:t>
      </w:r>
      <w:r w:rsidRPr="00A365A5">
        <w:rPr>
          <w:rFonts w:ascii="Calibri" w:eastAsia="Times New Roman" w:hAnsi="Calibri" w:cs="Calibri"/>
          <w:b/>
          <w:bCs/>
          <w:lang w:eastAsia="tr-TR"/>
        </w:rPr>
        <w:t>(Değişik:RG-11/3/2015-29292)</w:t>
      </w:r>
      <w:r w:rsidRPr="00A365A5">
        <w:rPr>
          <w:rFonts w:ascii="Calibri" w:eastAsia="Times New Roman" w:hAnsi="Calibri" w:cs="Calibri"/>
          <w:lang w:eastAsia="tr-TR"/>
        </w:rPr>
        <w:t>  Çevre İzin ve Lisans Yönetmeliği kapsamında kütle denge bildirimini yapmakla,</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c) </w:t>
      </w:r>
      <w:r w:rsidRPr="00A365A5">
        <w:rPr>
          <w:rFonts w:ascii="Calibri" w:eastAsia="Times New Roman" w:hAnsi="Calibri" w:cs="Calibri"/>
          <w:b/>
          <w:bCs/>
          <w:lang w:eastAsia="tr-TR"/>
        </w:rPr>
        <w:t>(Değişik:RG-11/3/2015-29292)</w:t>
      </w:r>
      <w:r w:rsidRPr="00A365A5">
        <w:rPr>
          <w:rFonts w:ascii="Calibri" w:eastAsia="Times New Roman" w:hAnsi="Calibri" w:cs="Calibri"/>
          <w:lang w:eastAsia="tr-TR"/>
        </w:rPr>
        <w:t>  Acil durumlarla ilgili eğitimli personel bulundurmakla, acil durum söz konusu olduğu zaman il müdürlüklerine bilgi vermekle ve gerekli tedbirleri almakla,</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ç) Tesisin risk taşıyan bölümlerinde çalışan personelin her türlü güvenliğini sağlamakla,</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d) Tesisin kapatılması durumunda gerekli tedbirleri almakla,</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yükümlüdür.</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 </w:t>
      </w:r>
    </w:p>
    <w:p w:rsidR="00305E10" w:rsidRPr="00A365A5" w:rsidRDefault="00305E10" w:rsidP="00305E10">
      <w:pPr>
        <w:shd w:val="clear" w:color="auto" w:fill="FFFFFF"/>
        <w:spacing w:after="0" w:line="300" w:lineRule="atLeast"/>
        <w:ind w:firstLine="567"/>
        <w:jc w:val="center"/>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ÜÇÜNCÜ BÖLÜM</w:t>
      </w:r>
    </w:p>
    <w:p w:rsidR="00305E10" w:rsidRPr="00A365A5" w:rsidRDefault="00305E10" w:rsidP="00305E10">
      <w:pPr>
        <w:shd w:val="clear" w:color="auto" w:fill="FFFFFF"/>
        <w:spacing w:after="0" w:line="300" w:lineRule="atLeast"/>
        <w:ind w:firstLine="567"/>
        <w:jc w:val="center"/>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Tehlikesiz Atıkların Geçici Depolama ve Geri Kazanımına İlişkin Hükümler</w:t>
      </w:r>
    </w:p>
    <w:p w:rsidR="00305E10" w:rsidRPr="00A365A5" w:rsidRDefault="00305E10" w:rsidP="00305E10">
      <w:pPr>
        <w:shd w:val="clear" w:color="auto" w:fill="FFFFFF"/>
        <w:spacing w:after="0" w:line="300" w:lineRule="atLeast"/>
        <w:ind w:firstLine="567"/>
        <w:jc w:val="both"/>
        <w:rPr>
          <w:rFonts w:ascii="Calibri" w:eastAsia="Times New Roman" w:hAnsi="Calibri" w:cs="Calibri"/>
          <w:b/>
          <w:bCs/>
          <w:lang w:eastAsia="tr-TR"/>
        </w:rPr>
      </w:pP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Geçici depolama</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MADDE 10 </w:t>
      </w:r>
      <w:r w:rsidRPr="00A365A5">
        <w:rPr>
          <w:rFonts w:ascii="Calibri" w:eastAsia="Times New Roman" w:hAnsi="Calibri" w:cs="Calibri"/>
          <w:lang w:eastAsia="tr-TR"/>
        </w:rPr>
        <w:t>– </w:t>
      </w:r>
      <w:r w:rsidRPr="00A365A5">
        <w:rPr>
          <w:rFonts w:ascii="Calibri" w:eastAsia="Times New Roman" w:hAnsi="Calibri" w:cs="Calibri"/>
          <w:b/>
          <w:bCs/>
          <w:lang w:eastAsia="tr-TR"/>
        </w:rPr>
        <w:t>(Değişik:RG-1/10/2013-28782)</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(1) Tehlikesiz atık üreticisi; atıklarını geri kazanıma kadar gerekli tedbirleri alarak bir yılı geçmemek üzere tesis içinde depolayabilir. Bu durumda atıkların yağmur veya yüzey suları ile temasından meydana gelebilecek kirliliğin önlenmesi için zemin geçirimsizliğinin sağlanması, suların drenajı amacı ile ızgara, kuşaklama kanalları ve benzeri toplama sistemlerinin oluşturulması zorunludur.</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lastRenderedPageBreak/>
        <w:t>Geri kazanım tesislerinde aranan şartlar</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MADDE 11</w:t>
      </w:r>
      <w:r w:rsidRPr="00A365A5">
        <w:rPr>
          <w:rFonts w:ascii="Calibri" w:eastAsia="Times New Roman" w:hAnsi="Calibri" w:cs="Calibri"/>
          <w:lang w:eastAsia="tr-TR"/>
        </w:rPr>
        <w:t> – (1) Geri kazanım tesislerinde;</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a) Atıkların tesise girişte kontrolünün yapıldığı kabul ünitesi ve geçici stoklama sahası yer alır. Stoklama sahasının zemin geçirimsizliği, beton veya benzeri malzeme ile sağlanarak, yağmur ve yüzey sularının drenajı için tedbirler alınır.</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b) Tesis genelinde oluşacak yağmur suları, yıkama ve benzeri atık sulardan ayrı toplanır.</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c) Tesise kabul edilen atığın kaynağı, miktarı, taşınım türü ve geri kazanım yöntemi gibi bilgileri içeren veri kayıt sistemi oluşturulur.</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ç) Gürültü, toz gibi kirleticilere karşı ilgili yönetmeliklerde tanımlanan sınır değerlere uyulur.</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d) Tesis çevresi bu alana personel harici kişilerin izinsiz girmesini önleyecek şekilde çevrilir.</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(2) Metal hurdaları parçalamak/boyutlarını küçültmek suretiyle kalitesini ve yoğunluğunu arttırarak  </w:t>
      </w:r>
      <w:r w:rsidRPr="00A365A5">
        <w:rPr>
          <w:rFonts w:ascii="Calibri" w:eastAsia="Times New Roman" w:hAnsi="Calibri" w:cs="Calibri"/>
          <w:b/>
          <w:bCs/>
          <w:lang w:eastAsia="tr-TR"/>
        </w:rPr>
        <w:t>(Mülga:RG-11/3/2015-29292)</w:t>
      </w:r>
      <w:r w:rsidRPr="00A365A5">
        <w:rPr>
          <w:rFonts w:ascii="Calibri" w:eastAsia="Times New Roman" w:hAnsi="Calibri" w:cs="Calibri"/>
          <w:lang w:eastAsia="tr-TR"/>
        </w:rPr>
        <w:t>  (…) hammadde niteliğine getirmek maksadıyla faaliyet gösteren metal hurda ıslah/geri kazanım tesisleri için birinci fıkrada belirtilen şartlara ilave olarak;</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a) Kesme, presleme, ve/veya mekanik kırıcı-parçalayıcı-öğütücü ünitelerinin bulundurulması,</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b) Stoklama ünitesinin bulunması,</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c) Radyasyon kontrol sistemi ünitesi ve yeterlilik sahibi personel bulundurulması,</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ç) Gerektiğinde drenaj kanallarına bağlı yağ tutucular bulundurulması,</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d) Yağ ile veya başka malzemelerle kirlenmiş parçalar, akü, pil, metal dışı yabancı malzemeler için ayrı ayrı konteynır bulundurulması,</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e) Yağ ile kontamine olmuş yüzeyi temizlemek amacıyla absorban malzemeler ile yağ çözücüler bulundurulması,</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f) </w:t>
      </w:r>
      <w:r w:rsidRPr="00A365A5">
        <w:rPr>
          <w:rFonts w:ascii="Calibri" w:eastAsia="Times New Roman" w:hAnsi="Calibri" w:cs="Calibri"/>
          <w:b/>
          <w:bCs/>
          <w:lang w:eastAsia="tr-TR"/>
        </w:rPr>
        <w:t>(Mülga:RG-11/3/2015-29292)</w:t>
      </w:r>
      <w:r w:rsidRPr="00A365A5">
        <w:rPr>
          <w:rFonts w:ascii="Calibri" w:eastAsia="Times New Roman" w:hAnsi="Calibri" w:cs="Calibri"/>
          <w:lang w:eastAsia="tr-TR"/>
        </w:rPr>
        <w:t>  </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g) </w:t>
      </w:r>
      <w:r w:rsidRPr="00A365A5">
        <w:rPr>
          <w:rFonts w:ascii="Calibri" w:eastAsia="Times New Roman" w:hAnsi="Calibri" w:cs="Calibri"/>
          <w:b/>
          <w:bCs/>
          <w:lang w:eastAsia="tr-TR"/>
        </w:rPr>
        <w:t>(Mülga:RG-11/3/2015-29292)</w:t>
      </w:r>
      <w:r w:rsidRPr="00A365A5">
        <w:rPr>
          <w:rFonts w:ascii="Calibri" w:eastAsia="Times New Roman" w:hAnsi="Calibri" w:cs="Calibri"/>
          <w:lang w:eastAsia="tr-TR"/>
        </w:rPr>
        <w:t>  </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ğ) </w:t>
      </w:r>
      <w:r w:rsidRPr="00A365A5">
        <w:rPr>
          <w:rFonts w:ascii="Calibri" w:eastAsia="Times New Roman" w:hAnsi="Calibri" w:cs="Calibri"/>
          <w:b/>
          <w:bCs/>
          <w:lang w:eastAsia="tr-TR"/>
        </w:rPr>
        <w:t>(Mülga:RG-11/3/2015-29292)</w:t>
      </w:r>
      <w:r w:rsidRPr="00A365A5">
        <w:rPr>
          <w:rFonts w:ascii="Calibri" w:eastAsia="Times New Roman" w:hAnsi="Calibri" w:cs="Calibri"/>
          <w:lang w:eastAsia="tr-TR"/>
        </w:rPr>
        <w:t>  </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h) </w:t>
      </w:r>
      <w:r w:rsidRPr="00A365A5">
        <w:rPr>
          <w:rFonts w:ascii="Calibri" w:eastAsia="Times New Roman" w:hAnsi="Calibri" w:cs="Calibri"/>
          <w:b/>
          <w:bCs/>
          <w:lang w:eastAsia="tr-TR"/>
        </w:rPr>
        <w:t>(Mülga:RG-11/3/2015-29292)</w:t>
      </w:r>
      <w:r w:rsidRPr="00A365A5">
        <w:rPr>
          <w:rFonts w:ascii="Calibri" w:eastAsia="Times New Roman" w:hAnsi="Calibri" w:cs="Calibri"/>
          <w:lang w:eastAsia="tr-TR"/>
        </w:rPr>
        <w:t>  </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ı) 30/12/2009 tarihli ve 27448 sayılı Resmî Gazete’de yayımlanan Ömrünü Tamamlamış Araçların Kontrolü Hakkında Yönetmelik doğrultusunda çevre izin ve lisansı almış geçici depolama alanları tarafından arındırma ve söküm işlemleri gerçekleştirilmemiş olan ömrünü tamamlamış araçlar ve bunların parçalarının tesise kabul edilmemesi; bu tesislerde işlem gören araçların aynı Yönetmelikte düzenlenen Araç Kayıttan Düşme ve Bertaraf Formu ile tesise kabul edilmesi,</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i) Öğütme işlemi sonrasında ortaya çıkan atıkların sınıflandırılması için, LAGA PN 98 standardı veya eşdeğer standartlara göre numune alınması, bu atıklarda poliklorlubifenil tayini DIN 38414-20 standardına, hidrokarbon muhteviyatı ise TS EN 14039 standardına uygun olarak yapılması,</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şartları sağlanır.</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(3) Tehlikesiz atık geri kazanım tesislerinden kaynaklanan bakiye atıkların, çevre izin/lisansına sahip geri kazanım veya bertaraf tesislerine gönderilmesi zorunludur.</w:t>
      </w:r>
    </w:p>
    <w:p w:rsidR="00305E10" w:rsidRPr="00A365A5" w:rsidRDefault="00305E10" w:rsidP="00305E10">
      <w:pPr>
        <w:shd w:val="clear" w:color="auto" w:fill="FFFFFF"/>
        <w:spacing w:after="0" w:line="300" w:lineRule="atLeast"/>
        <w:ind w:firstLine="567"/>
        <w:jc w:val="both"/>
        <w:rPr>
          <w:rFonts w:ascii="Calibri" w:eastAsia="Times New Roman" w:hAnsi="Calibri" w:cs="Calibri"/>
          <w:b/>
          <w:bCs/>
          <w:lang w:eastAsia="tr-TR"/>
        </w:rPr>
      </w:pP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Tehlikesiz atık toplama-ayırma tesislerinde aranan şartlar</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MADDE 12</w:t>
      </w:r>
      <w:r w:rsidRPr="00A365A5">
        <w:rPr>
          <w:rFonts w:ascii="Calibri" w:eastAsia="Times New Roman" w:hAnsi="Calibri" w:cs="Calibri"/>
          <w:lang w:eastAsia="tr-TR"/>
        </w:rPr>
        <w:t> – (1) Tehlikesiz atık toplama-ayırma faaliyeti yapanlar faaliyet sahalarında aşağıda belirtilen tedbirleri alırlar;</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a) Stok sahasının zemin geçirimsizliği beton veya benzeri malzeme ile sağlanır, yağmur ve yüzey sularının drenajı için tedbirler alınır.</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b) Tesis genelinde oluşacak yağmur suları, yıkama ve benzeri atık sulardan ayrı toplanır.</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c) Gürültü, toz gibi kirleticilere karşı ilgili yönetmeliklerde tanımlanan sınır değerlere uyulur.</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ç) Tesis çevresi dışarıdan görülmeyecek şekilde çevrilir ve bu alana personel harici kişilerin izinsiz girmesi önlenir.</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 xml:space="preserve">d) Metal hurda toplama-ayırma faaliyeti yapan tesislerde taşınabilir radyasyon ölçüm cihazı ve yeterlilik sahibi personel bulundurulur. OSB, küçük sanayi siteleri vb. şekilde toplu halde bulunan ve </w:t>
      </w:r>
      <w:r w:rsidRPr="00A365A5">
        <w:rPr>
          <w:rFonts w:ascii="Calibri" w:eastAsia="Times New Roman" w:hAnsi="Calibri" w:cs="Calibri"/>
          <w:lang w:eastAsia="tr-TR"/>
        </w:rPr>
        <w:lastRenderedPageBreak/>
        <w:t>giriş çıkışları kontrol altına alınmış sanayi sitelerinin girişlerinde radyasyon kontrol sistemi ve yeterlilik sahibi personel varsa bu şart aranmaz.</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e) Yağ ile veya başka malzemelerle kirlenmiş parçalar, akü, pil, metal dışı yabancı malzemeler için ayrı ayrı konteynır kullanılır.</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f) Yağ ile kontamine olmuş yüzeyi temizlemek amacıyla absorban malzemeler ile yağ çözücüler bulundurulur.</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(2) Metal hurda toplama-ayırma işi yapanların faaliyet sahalarından kaynaklanan bakiye atıklar için türlerine göre 11 inci maddenin üçüncü fıkrasında belirtilen hükümlere uyması zorunludur.</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 </w:t>
      </w:r>
    </w:p>
    <w:p w:rsidR="00305E10" w:rsidRPr="00A365A5" w:rsidRDefault="00305E10" w:rsidP="00305E10">
      <w:pPr>
        <w:shd w:val="clear" w:color="auto" w:fill="FFFFFF"/>
        <w:spacing w:after="0" w:line="300" w:lineRule="atLeast"/>
        <w:ind w:firstLine="567"/>
        <w:jc w:val="center"/>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DÖRDÜNCÜ BÖLÜM</w:t>
      </w:r>
    </w:p>
    <w:p w:rsidR="00305E10" w:rsidRPr="00A365A5" w:rsidRDefault="00305E10" w:rsidP="00305E10">
      <w:pPr>
        <w:shd w:val="clear" w:color="auto" w:fill="FFFFFF"/>
        <w:spacing w:after="0" w:line="300" w:lineRule="atLeast"/>
        <w:ind w:firstLine="567"/>
        <w:jc w:val="center"/>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Çevre İzin ve Lisansı ile İlgili Hükümler</w:t>
      </w:r>
    </w:p>
    <w:p w:rsidR="00305E10" w:rsidRPr="00A365A5" w:rsidRDefault="00305E10" w:rsidP="00305E10">
      <w:pPr>
        <w:shd w:val="clear" w:color="auto" w:fill="FFFFFF"/>
        <w:spacing w:after="0" w:line="300" w:lineRule="atLeast"/>
        <w:ind w:firstLine="567"/>
        <w:jc w:val="both"/>
        <w:rPr>
          <w:rFonts w:ascii="Calibri" w:eastAsia="Times New Roman" w:hAnsi="Calibri" w:cs="Calibri"/>
          <w:b/>
          <w:bCs/>
          <w:lang w:eastAsia="tr-TR"/>
        </w:rPr>
      </w:pP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Geri kazanım tesislerine çevre lisansı verilmesi</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MADDE 13</w:t>
      </w:r>
      <w:r w:rsidRPr="00A365A5">
        <w:rPr>
          <w:rFonts w:ascii="Calibri" w:eastAsia="Times New Roman" w:hAnsi="Calibri" w:cs="Calibri"/>
          <w:lang w:eastAsia="tr-TR"/>
        </w:rPr>
        <w:t> – (1) </w:t>
      </w:r>
      <w:r w:rsidRPr="00A365A5">
        <w:rPr>
          <w:rFonts w:ascii="Calibri" w:eastAsia="Times New Roman" w:hAnsi="Calibri" w:cs="Calibri"/>
          <w:b/>
          <w:bCs/>
          <w:lang w:eastAsia="tr-TR"/>
        </w:rPr>
        <w:t>(Değişik:RG-11/3/2015-29292)</w:t>
      </w:r>
      <w:r w:rsidRPr="00A365A5">
        <w:rPr>
          <w:rFonts w:ascii="Calibri" w:eastAsia="Times New Roman" w:hAnsi="Calibri" w:cs="Calibri"/>
          <w:lang w:eastAsia="tr-TR"/>
        </w:rPr>
        <w:t>  Tehlikesiz atık geri kazanım tesisi ile metal hurda ıslahı/geri kazanımı tesisi kurmak ve işletmek isteyen gerçek ve tüzel kişilerin çevre lisansı alması zorunludur. Çevre lisansı alınması işlemlerinde Çevre İzin ve Lisans Yönetmeliği hükümleri uygulanır. Söz konusu Yönetmeliğin Ek-3C’sinde yer alan Teknik Uygunluk Raporunda, bu Tebliğin Ek-1'inde verilen bilgi ve belgelerin bulunması zorunludur.</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(2) Birbirini tamamlayan ve benzer teknoloji kullanan kompleks tesis üniteleri çevre lisansı alma açısından tek ünite sayılır.</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(3) </w:t>
      </w:r>
      <w:r w:rsidRPr="00A365A5">
        <w:rPr>
          <w:rFonts w:ascii="Calibri" w:eastAsia="Times New Roman" w:hAnsi="Calibri" w:cs="Calibri"/>
          <w:b/>
          <w:bCs/>
          <w:lang w:eastAsia="tr-TR"/>
        </w:rPr>
        <w:t>(Değişik:RG-11/3/2015-29292)</w:t>
      </w:r>
      <w:r w:rsidRPr="00A365A5">
        <w:rPr>
          <w:rFonts w:ascii="Calibri" w:eastAsia="Times New Roman" w:hAnsi="Calibri" w:cs="Calibri"/>
          <w:lang w:eastAsia="tr-TR"/>
        </w:rPr>
        <w:t> Bu Tebliğde tanımlanan tehlikesiz atık geri kazanım tesislerine Bakanlık tarafından çevre lisansı; tehlikesiz atık ve metal hurda toplama-ayırma tesislerine il müdürlükleri tarafından 7 nci maddenin birinci fıkrasının (d) bendinde düzenlenen belge verilir. Metal hurda ıslah/geri kazanım tesislerinin toplama-ayırma faaliyeti için il müdürlüklerinden belge almaları şartı aranmaz.</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(4) </w:t>
      </w:r>
      <w:r w:rsidRPr="00A365A5">
        <w:rPr>
          <w:rFonts w:ascii="Calibri" w:eastAsia="Times New Roman" w:hAnsi="Calibri" w:cs="Calibri"/>
          <w:b/>
          <w:bCs/>
          <w:lang w:eastAsia="tr-TR"/>
        </w:rPr>
        <w:t>(Mülga:RG-1/10/2013-28782)</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(5) </w:t>
      </w:r>
      <w:r w:rsidRPr="00A365A5">
        <w:rPr>
          <w:rFonts w:ascii="Calibri" w:eastAsia="Times New Roman" w:hAnsi="Calibri" w:cs="Calibri"/>
          <w:b/>
          <w:bCs/>
          <w:lang w:eastAsia="tr-TR"/>
        </w:rPr>
        <w:t>(Mülga:RG-1/10/2013-28782)</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 </w:t>
      </w:r>
    </w:p>
    <w:p w:rsidR="00305E10" w:rsidRPr="00A365A5" w:rsidRDefault="00305E10" w:rsidP="00305E10">
      <w:pPr>
        <w:shd w:val="clear" w:color="auto" w:fill="FFFFFF"/>
        <w:spacing w:after="0" w:line="300" w:lineRule="atLeast"/>
        <w:ind w:firstLine="567"/>
        <w:jc w:val="center"/>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BEŞİNCİ BÖLÜM</w:t>
      </w:r>
    </w:p>
    <w:p w:rsidR="00305E10" w:rsidRPr="00A365A5" w:rsidRDefault="00305E10" w:rsidP="00305E10">
      <w:pPr>
        <w:shd w:val="clear" w:color="auto" w:fill="FFFFFF"/>
        <w:spacing w:after="0" w:line="300" w:lineRule="atLeast"/>
        <w:ind w:firstLine="567"/>
        <w:jc w:val="center"/>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Diğer Hükümler</w:t>
      </w:r>
    </w:p>
    <w:p w:rsidR="00305E10" w:rsidRPr="00A365A5" w:rsidRDefault="00305E10" w:rsidP="00305E10">
      <w:pPr>
        <w:shd w:val="clear" w:color="auto" w:fill="FFFFFF"/>
        <w:spacing w:after="0" w:line="300" w:lineRule="atLeast"/>
        <w:ind w:firstLine="567"/>
        <w:jc w:val="both"/>
        <w:rPr>
          <w:rFonts w:ascii="Calibri" w:eastAsia="Times New Roman" w:hAnsi="Calibri" w:cs="Calibri"/>
          <w:b/>
          <w:bCs/>
          <w:lang w:eastAsia="tr-TR"/>
        </w:rPr>
      </w:pP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Yürürlükten Kaldırılan Mevzuat</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MADDE 14</w:t>
      </w:r>
      <w:r w:rsidRPr="00A365A5">
        <w:rPr>
          <w:rFonts w:ascii="Calibri" w:eastAsia="Times New Roman" w:hAnsi="Calibri" w:cs="Calibri"/>
          <w:lang w:eastAsia="tr-TR"/>
        </w:rPr>
        <w:t> – (1) 12/5/2010 tarihli ve 27579 sayılı Resmî Gazete’de yayımlanan “Tehlikesiz ve İnert Atıkların Geri Kazanımı Tebliği” yürürlükten kaldırılmıştır.</w:t>
      </w:r>
    </w:p>
    <w:p w:rsidR="00305E10" w:rsidRPr="00A365A5" w:rsidRDefault="00305E10" w:rsidP="00305E10">
      <w:pPr>
        <w:shd w:val="clear" w:color="auto" w:fill="FFFFFF"/>
        <w:spacing w:after="0" w:line="300" w:lineRule="atLeast"/>
        <w:ind w:firstLine="567"/>
        <w:jc w:val="both"/>
        <w:rPr>
          <w:rFonts w:ascii="Calibri" w:eastAsia="Times New Roman" w:hAnsi="Calibri" w:cs="Calibri"/>
          <w:b/>
          <w:bCs/>
          <w:lang w:eastAsia="tr-TR"/>
        </w:rPr>
      </w:pP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GEÇİCİ MADDE 1</w:t>
      </w:r>
      <w:r w:rsidRPr="00A365A5">
        <w:rPr>
          <w:rFonts w:ascii="Calibri" w:eastAsia="Times New Roman" w:hAnsi="Calibri" w:cs="Calibri"/>
          <w:lang w:eastAsia="tr-TR"/>
        </w:rPr>
        <w:t> – </w:t>
      </w:r>
      <w:r w:rsidRPr="00A365A5">
        <w:rPr>
          <w:rFonts w:ascii="Calibri" w:eastAsia="Times New Roman" w:hAnsi="Calibri" w:cs="Calibri"/>
          <w:b/>
          <w:bCs/>
          <w:lang w:eastAsia="tr-TR"/>
        </w:rPr>
        <w:t>(Mülga:RG-1/10/2013-28782)</w:t>
      </w:r>
    </w:p>
    <w:p w:rsidR="00305E10" w:rsidRPr="00A365A5" w:rsidRDefault="00305E10" w:rsidP="00305E10">
      <w:pPr>
        <w:shd w:val="clear" w:color="auto" w:fill="FFFFFF"/>
        <w:spacing w:after="0" w:line="300" w:lineRule="atLeast"/>
        <w:ind w:firstLine="567"/>
        <w:jc w:val="both"/>
        <w:rPr>
          <w:rFonts w:ascii="Calibri" w:eastAsia="Times New Roman" w:hAnsi="Calibri" w:cs="Calibri"/>
          <w:b/>
          <w:bCs/>
          <w:lang w:eastAsia="tr-TR"/>
        </w:rPr>
      </w:pP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Yürürlük</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MADDE 15</w:t>
      </w:r>
      <w:r w:rsidRPr="00A365A5">
        <w:rPr>
          <w:rFonts w:ascii="Calibri" w:eastAsia="Times New Roman" w:hAnsi="Calibri" w:cs="Calibri"/>
          <w:lang w:eastAsia="tr-TR"/>
        </w:rPr>
        <w:t> – </w:t>
      </w:r>
      <w:r w:rsidRPr="00A365A5">
        <w:rPr>
          <w:rFonts w:ascii="Calibri" w:eastAsia="Times New Roman" w:hAnsi="Calibri" w:cs="Calibri"/>
          <w:b/>
          <w:bCs/>
          <w:lang w:eastAsia="tr-TR"/>
        </w:rPr>
        <w:t>(Değişik:RG-1/10/2013-28782)</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(1) Bu Tebliğin;</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a) 8 inci maddesinin birinci fıkrasının (ç) bendi ve 9 uncu maddesinin birinci fıkrasının (b) bendi 1/1/2015 tarihinde,</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b) Mevcutta kurulu bulunan metal hurdayı ergiterek işlem yapan sanayi tesisleri için 10 uncu maddesi 1/1/2015 tarihinde,</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c) 11 inci maddesinin ikinci fıkrasının (f), (g), (ğ) ve (h) bentleri 1/1/2015 tarihinde,</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ç) Diğer hükümleri yayımı tarihinde,</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yürürlüğe girer.</w:t>
      </w:r>
    </w:p>
    <w:p w:rsidR="00305E10" w:rsidRPr="00A365A5" w:rsidRDefault="00305E10" w:rsidP="00305E10">
      <w:pPr>
        <w:shd w:val="clear" w:color="auto" w:fill="FFFFFF"/>
        <w:spacing w:after="0" w:line="300" w:lineRule="atLeast"/>
        <w:ind w:firstLine="567"/>
        <w:jc w:val="both"/>
        <w:rPr>
          <w:rFonts w:ascii="Calibri" w:eastAsia="Times New Roman" w:hAnsi="Calibri" w:cs="Calibri"/>
          <w:b/>
          <w:bCs/>
          <w:lang w:eastAsia="tr-TR"/>
        </w:rPr>
      </w:pPr>
    </w:p>
    <w:p w:rsidR="00305E10" w:rsidRPr="00A365A5" w:rsidRDefault="00305E10" w:rsidP="00305E10">
      <w:pPr>
        <w:shd w:val="clear" w:color="auto" w:fill="FFFFFF"/>
        <w:spacing w:after="0" w:line="300" w:lineRule="atLeast"/>
        <w:ind w:firstLine="567"/>
        <w:jc w:val="both"/>
        <w:rPr>
          <w:rFonts w:ascii="Calibri" w:eastAsia="Times New Roman" w:hAnsi="Calibri" w:cs="Calibri"/>
          <w:b/>
          <w:bCs/>
          <w:lang w:eastAsia="tr-TR"/>
        </w:rPr>
      </w:pP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lastRenderedPageBreak/>
        <w:t>Yürütme</w:t>
      </w:r>
    </w:p>
    <w:p w:rsidR="00305E10" w:rsidRPr="00A365A5" w:rsidRDefault="00305E10" w:rsidP="00305E10">
      <w:pPr>
        <w:shd w:val="clear" w:color="auto" w:fill="FFFFFF"/>
        <w:spacing w:after="0" w:line="300" w:lineRule="atLeast"/>
        <w:ind w:firstLine="567"/>
        <w:jc w:val="both"/>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MADDE 16</w:t>
      </w:r>
      <w:r w:rsidRPr="00A365A5">
        <w:rPr>
          <w:rFonts w:ascii="Calibri" w:eastAsia="Times New Roman" w:hAnsi="Calibri" w:cs="Calibri"/>
          <w:lang w:eastAsia="tr-TR"/>
        </w:rPr>
        <w:t> –</w:t>
      </w:r>
      <w:r w:rsidRPr="00A365A5">
        <w:rPr>
          <w:rFonts w:ascii="Calibri" w:eastAsia="Times New Roman" w:hAnsi="Calibri" w:cs="Calibri"/>
          <w:b/>
          <w:bCs/>
          <w:lang w:eastAsia="tr-TR"/>
        </w:rPr>
        <w:t>(Değişik:RG-11/3/2015-29292)</w:t>
      </w:r>
      <w:r w:rsidRPr="00A365A5">
        <w:rPr>
          <w:rFonts w:ascii="Calibri" w:eastAsia="Times New Roman" w:hAnsi="Calibri" w:cs="Calibri"/>
          <w:lang w:eastAsia="tr-TR"/>
        </w:rPr>
        <w:t>  </w:t>
      </w:r>
    </w:p>
    <w:p w:rsidR="00305E10" w:rsidRPr="00A365A5" w:rsidRDefault="00305E10" w:rsidP="00305E10">
      <w:pPr>
        <w:shd w:val="clear" w:color="auto" w:fill="FFFFFF"/>
        <w:spacing w:after="0" w:line="300" w:lineRule="atLeast"/>
        <w:ind w:left="972" w:hanging="360"/>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(1)</w:t>
      </w:r>
      <w:r w:rsidRPr="00A365A5">
        <w:rPr>
          <w:rFonts w:ascii="Times New Roman" w:eastAsia="Times New Roman" w:hAnsi="Times New Roman" w:cs="Times New Roman"/>
          <w:sz w:val="14"/>
          <w:szCs w:val="14"/>
          <w:lang w:eastAsia="tr-TR"/>
        </w:rPr>
        <w:t>    </w:t>
      </w:r>
      <w:r w:rsidRPr="00A365A5">
        <w:rPr>
          <w:rFonts w:ascii="Calibri" w:eastAsia="Times New Roman" w:hAnsi="Calibri" w:cs="Calibri"/>
          <w:lang w:eastAsia="tr-TR"/>
        </w:rPr>
        <w:t>Bu Tebliğ hükümlerini Çevre ve Şehircilik Bakanı yürütür.</w:t>
      </w:r>
    </w:p>
    <w:p w:rsidR="00EE0E30" w:rsidRPr="00A365A5" w:rsidRDefault="00EE0E30" w:rsidP="008D5F56">
      <w:pPr>
        <w:spacing w:line="240" w:lineRule="auto"/>
        <w:rPr>
          <w:rFonts w:cstheme="minorHAnsi"/>
        </w:rPr>
      </w:pPr>
    </w:p>
    <w:p w:rsidR="00305E10" w:rsidRPr="00A365A5" w:rsidRDefault="00305E10" w:rsidP="00305E10">
      <w:pPr>
        <w:shd w:val="clear" w:color="auto" w:fill="FFFFFF"/>
        <w:spacing w:after="0" w:line="300" w:lineRule="atLeast"/>
        <w:jc w:val="center"/>
        <w:rPr>
          <w:rFonts w:ascii="Arial" w:eastAsia="Times New Roman" w:hAnsi="Arial" w:cs="Arial"/>
          <w:sz w:val="15"/>
          <w:szCs w:val="15"/>
          <w:lang w:eastAsia="tr-TR"/>
        </w:rPr>
      </w:pPr>
    </w:p>
    <w:tbl>
      <w:tblPr>
        <w:tblW w:w="0" w:type="auto"/>
        <w:jc w:val="center"/>
        <w:tblCellMar>
          <w:left w:w="0" w:type="dxa"/>
          <w:right w:w="0" w:type="dxa"/>
        </w:tblCellMar>
        <w:tblLook w:val="04A0"/>
      </w:tblPr>
      <w:tblGrid>
        <w:gridCol w:w="1238"/>
        <w:gridCol w:w="3600"/>
        <w:gridCol w:w="3600"/>
      </w:tblGrid>
      <w:tr w:rsidR="00A365A5" w:rsidRPr="00A365A5" w:rsidTr="00305E10">
        <w:trPr>
          <w:jc w:val="center"/>
        </w:trPr>
        <w:tc>
          <w:tcPr>
            <w:tcW w:w="12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5E10" w:rsidRPr="00A365A5" w:rsidRDefault="00305E10" w:rsidP="00305E10">
            <w:pPr>
              <w:spacing w:after="0" w:line="240" w:lineRule="auto"/>
              <w:ind w:left="972"/>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05E10" w:rsidRPr="00A365A5" w:rsidRDefault="00305E10" w:rsidP="00305E10">
            <w:pPr>
              <w:spacing w:after="0" w:line="240" w:lineRule="auto"/>
              <w:ind w:left="972"/>
              <w:jc w:val="center"/>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Tebliğin Yayımlandığı Resmî Gazete’nin</w:t>
            </w:r>
          </w:p>
        </w:tc>
      </w:tr>
      <w:tr w:rsidR="00A365A5" w:rsidRPr="00A365A5" w:rsidTr="00305E1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05E10" w:rsidRPr="00A365A5" w:rsidRDefault="00305E10" w:rsidP="00305E10">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5E10" w:rsidRPr="00A365A5" w:rsidRDefault="00305E10" w:rsidP="00305E10">
            <w:pPr>
              <w:spacing w:after="0" w:line="240" w:lineRule="auto"/>
              <w:ind w:left="972"/>
              <w:jc w:val="center"/>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5E10" w:rsidRPr="00A365A5" w:rsidRDefault="00305E10" w:rsidP="00305E10">
            <w:pPr>
              <w:spacing w:after="0" w:line="240" w:lineRule="auto"/>
              <w:ind w:left="972"/>
              <w:jc w:val="center"/>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Sayısı</w:t>
            </w:r>
          </w:p>
        </w:tc>
      </w:tr>
      <w:tr w:rsidR="00A365A5" w:rsidRPr="00A365A5" w:rsidTr="00305E1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05E10" w:rsidRPr="00A365A5" w:rsidRDefault="00305E10" w:rsidP="00305E10">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5E10" w:rsidRPr="00A365A5" w:rsidRDefault="00305E10" w:rsidP="00305E10">
            <w:pPr>
              <w:spacing w:after="0" w:line="240" w:lineRule="auto"/>
              <w:ind w:left="972"/>
              <w:jc w:val="center"/>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17/6/2011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5E10" w:rsidRPr="00A365A5" w:rsidRDefault="00305E10" w:rsidP="00305E10">
            <w:pPr>
              <w:spacing w:after="0" w:line="240" w:lineRule="auto"/>
              <w:ind w:left="972"/>
              <w:jc w:val="center"/>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27967</w:t>
            </w:r>
          </w:p>
        </w:tc>
      </w:tr>
      <w:tr w:rsidR="00A365A5" w:rsidRPr="00A365A5" w:rsidTr="00305E1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05E10" w:rsidRPr="00A365A5" w:rsidRDefault="00305E10" w:rsidP="00305E10">
            <w:pPr>
              <w:spacing w:after="0" w:line="240" w:lineRule="auto"/>
              <w:rPr>
                <w:rFonts w:ascii="Times New Roman" w:eastAsia="Times New Roman" w:hAnsi="Times New Roman" w:cs="Times New Roman"/>
                <w:sz w:val="24"/>
                <w:szCs w:val="24"/>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05E10" w:rsidRPr="00A365A5" w:rsidRDefault="00305E10" w:rsidP="00305E10">
            <w:pPr>
              <w:spacing w:after="0" w:line="240" w:lineRule="auto"/>
              <w:ind w:left="972"/>
              <w:jc w:val="center"/>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Tebliğde Değişiklik Yapan Tebliğlerin Yayımlandığı Resmî Gazetelerin</w:t>
            </w:r>
          </w:p>
        </w:tc>
      </w:tr>
      <w:tr w:rsidR="00A365A5" w:rsidRPr="00A365A5" w:rsidTr="00305E1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05E10" w:rsidRPr="00A365A5" w:rsidRDefault="00305E10" w:rsidP="00305E10">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5E10" w:rsidRPr="00A365A5" w:rsidRDefault="00305E10" w:rsidP="00305E10">
            <w:pPr>
              <w:spacing w:after="0" w:line="240" w:lineRule="auto"/>
              <w:ind w:left="972"/>
              <w:jc w:val="center"/>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5E10" w:rsidRPr="00A365A5" w:rsidRDefault="00305E10" w:rsidP="00305E10">
            <w:pPr>
              <w:spacing w:after="0" w:line="240" w:lineRule="auto"/>
              <w:ind w:left="972"/>
              <w:jc w:val="center"/>
              <w:rPr>
                <w:rFonts w:ascii="Times New Roman" w:eastAsia="Times New Roman" w:hAnsi="Times New Roman" w:cs="Times New Roman"/>
                <w:sz w:val="24"/>
                <w:szCs w:val="24"/>
                <w:lang w:eastAsia="tr-TR"/>
              </w:rPr>
            </w:pPr>
            <w:r w:rsidRPr="00A365A5">
              <w:rPr>
                <w:rFonts w:ascii="Calibri" w:eastAsia="Times New Roman" w:hAnsi="Calibri" w:cs="Calibri"/>
                <w:b/>
                <w:bCs/>
                <w:lang w:eastAsia="tr-TR"/>
              </w:rPr>
              <w:t>Sayısı</w:t>
            </w:r>
          </w:p>
        </w:tc>
      </w:tr>
      <w:tr w:rsidR="00A365A5" w:rsidRPr="00A365A5" w:rsidTr="00305E10">
        <w:trPr>
          <w:jc w:val="center"/>
        </w:trPr>
        <w:tc>
          <w:tcPr>
            <w:tcW w:w="12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5E10" w:rsidRPr="00A365A5" w:rsidRDefault="00305E10" w:rsidP="00305E10">
            <w:pPr>
              <w:spacing w:after="0" w:line="240" w:lineRule="auto"/>
              <w:ind w:left="397" w:hanging="340"/>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1.</w:t>
            </w:r>
            <w:r w:rsidRPr="00A365A5">
              <w:rPr>
                <w:rFonts w:ascii="Times New Roman" w:eastAsia="Times New Roman" w:hAnsi="Times New Roman" w:cs="Times New Roman"/>
                <w:sz w:val="14"/>
                <w:szCs w:val="14"/>
                <w:lang w:eastAsia="tr-TR"/>
              </w:rPr>
              <w:t>      </w:t>
            </w:r>
            <w:r w:rsidRPr="00A365A5">
              <w:rPr>
                <w:rFonts w:ascii="Calibri" w:eastAsia="Times New Roman" w:hAnsi="Calibri" w:cs="Calibri"/>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5E10" w:rsidRPr="00A365A5" w:rsidRDefault="00305E10" w:rsidP="00305E10">
            <w:pPr>
              <w:spacing w:after="0" w:line="240" w:lineRule="auto"/>
              <w:ind w:left="972"/>
              <w:jc w:val="center"/>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1/10/2013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5E10" w:rsidRPr="00A365A5" w:rsidRDefault="00305E10" w:rsidP="00305E10">
            <w:pPr>
              <w:spacing w:after="0" w:line="240" w:lineRule="auto"/>
              <w:ind w:left="972"/>
              <w:jc w:val="center"/>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28782</w:t>
            </w:r>
          </w:p>
        </w:tc>
      </w:tr>
      <w:tr w:rsidR="00A365A5" w:rsidRPr="00A365A5" w:rsidTr="00305E10">
        <w:trPr>
          <w:jc w:val="center"/>
        </w:trPr>
        <w:tc>
          <w:tcPr>
            <w:tcW w:w="12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5E10" w:rsidRPr="00A365A5" w:rsidRDefault="00305E10" w:rsidP="00305E10">
            <w:pPr>
              <w:spacing w:after="0" w:line="240" w:lineRule="auto"/>
              <w:ind w:left="397" w:hanging="340"/>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2.</w:t>
            </w:r>
            <w:r w:rsidRPr="00A365A5">
              <w:rPr>
                <w:rFonts w:ascii="Times New Roman" w:eastAsia="Times New Roman" w:hAnsi="Times New Roman" w:cs="Times New Roman"/>
                <w:sz w:val="14"/>
                <w:szCs w:val="14"/>
                <w:lang w:eastAsia="tr-TR"/>
              </w:rPr>
              <w:t>      </w:t>
            </w:r>
            <w:r w:rsidRPr="00A365A5">
              <w:rPr>
                <w:rFonts w:ascii="Calibri" w:eastAsia="Times New Roman" w:hAnsi="Calibri" w:cs="Calibri"/>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5E10" w:rsidRPr="00A365A5" w:rsidRDefault="00305E10" w:rsidP="00305E10">
            <w:pPr>
              <w:spacing w:after="0" w:line="240" w:lineRule="auto"/>
              <w:ind w:left="972"/>
              <w:jc w:val="center"/>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11/3/2015</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05E10" w:rsidRPr="00A365A5" w:rsidRDefault="00305E10" w:rsidP="00305E10">
            <w:pPr>
              <w:spacing w:after="0" w:line="240" w:lineRule="auto"/>
              <w:ind w:left="972"/>
              <w:jc w:val="center"/>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29292</w:t>
            </w:r>
          </w:p>
        </w:tc>
      </w:tr>
    </w:tbl>
    <w:p w:rsidR="00305E10" w:rsidRPr="00A365A5" w:rsidRDefault="00305E10" w:rsidP="00305E10">
      <w:pPr>
        <w:shd w:val="clear" w:color="auto" w:fill="FFFFFF"/>
        <w:spacing w:after="0" w:line="300" w:lineRule="atLeast"/>
        <w:ind w:left="972"/>
        <w:jc w:val="both"/>
        <w:rPr>
          <w:rFonts w:ascii="Times New Roman" w:eastAsia="Times New Roman" w:hAnsi="Times New Roman" w:cs="Times New Roman"/>
          <w:sz w:val="24"/>
          <w:szCs w:val="24"/>
          <w:lang w:eastAsia="tr-TR"/>
        </w:rPr>
      </w:pPr>
      <w:r w:rsidRPr="00A365A5">
        <w:rPr>
          <w:rFonts w:ascii="Calibri" w:eastAsia="Times New Roman" w:hAnsi="Calibri" w:cs="Calibri"/>
          <w:lang w:eastAsia="tr-TR"/>
        </w:rPr>
        <w:t> </w:t>
      </w:r>
    </w:p>
    <w:p w:rsidR="008D5F56" w:rsidRPr="00A365A5" w:rsidRDefault="008D5F56" w:rsidP="008D5F56">
      <w:pPr>
        <w:spacing w:line="240" w:lineRule="auto"/>
        <w:rPr>
          <w:rFonts w:cstheme="minorHAnsi"/>
        </w:rPr>
      </w:pPr>
      <w:r w:rsidRPr="00A365A5">
        <w:rPr>
          <w:rFonts w:cstheme="minorHAnsi"/>
        </w:rPr>
        <w:br w:type="page"/>
      </w:r>
    </w:p>
    <w:tbl>
      <w:tblPr>
        <w:tblW w:w="8505" w:type="dxa"/>
        <w:jc w:val="center"/>
        <w:tblCellMar>
          <w:left w:w="0" w:type="dxa"/>
          <w:right w:w="0" w:type="dxa"/>
        </w:tblCellMar>
        <w:tblLook w:val="04A0"/>
      </w:tblPr>
      <w:tblGrid>
        <w:gridCol w:w="456"/>
        <w:gridCol w:w="8049"/>
      </w:tblGrid>
      <w:tr w:rsidR="00A365A5" w:rsidRPr="00A365A5" w:rsidTr="008D5F56">
        <w:trPr>
          <w:jc w:val="center"/>
        </w:trPr>
        <w:tc>
          <w:tcPr>
            <w:tcW w:w="8505" w:type="dxa"/>
            <w:gridSpan w:val="2"/>
            <w:tcMar>
              <w:top w:w="0" w:type="dxa"/>
              <w:left w:w="108" w:type="dxa"/>
              <w:bottom w:w="0" w:type="dxa"/>
              <w:right w:w="108" w:type="dxa"/>
            </w:tcMar>
            <w:hideMark/>
          </w:tcPr>
          <w:p w:rsidR="008D5F56" w:rsidRPr="00A365A5" w:rsidRDefault="008D5F56" w:rsidP="008D5F56">
            <w:pPr>
              <w:spacing w:after="0" w:line="240" w:lineRule="auto"/>
              <w:jc w:val="right"/>
              <w:rPr>
                <w:rFonts w:eastAsia="Times New Roman" w:cstheme="minorHAnsi"/>
                <w:lang w:eastAsia="tr-TR"/>
              </w:rPr>
            </w:pPr>
            <w:r w:rsidRPr="00A365A5">
              <w:rPr>
                <w:rFonts w:eastAsia="Times New Roman" w:cstheme="minorHAnsi"/>
                <w:b/>
                <w:bCs/>
                <w:lang w:eastAsia="tr-TR"/>
              </w:rPr>
              <w:lastRenderedPageBreak/>
              <w:t>EK-1</w:t>
            </w:r>
          </w:p>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b/>
                <w:bCs/>
                <w:lang w:eastAsia="tr-TR"/>
              </w:rPr>
              <w:t> </w:t>
            </w:r>
          </w:p>
          <w:p w:rsidR="008D5F56" w:rsidRPr="00A365A5" w:rsidRDefault="00305E10" w:rsidP="008D5F56">
            <w:pPr>
              <w:spacing w:after="0" w:line="240" w:lineRule="auto"/>
              <w:jc w:val="center"/>
              <w:rPr>
                <w:rFonts w:eastAsia="Times New Roman" w:cstheme="minorHAnsi"/>
                <w:lang w:eastAsia="tr-TR"/>
              </w:rPr>
            </w:pPr>
            <w:r w:rsidRPr="00A365A5">
              <w:rPr>
                <w:rFonts w:ascii="Calibri" w:hAnsi="Calibri" w:cs="Calibri"/>
                <w:b/>
                <w:bCs/>
                <w:shd w:val="clear" w:color="auto" w:fill="FFFFFF"/>
              </w:rPr>
              <w:t>(Değişik başlık: RG-11/3/2015-29292)</w:t>
            </w:r>
            <w:r w:rsidRPr="00A365A5">
              <w:rPr>
                <w:rStyle w:val="apple-converted-space"/>
                <w:rFonts w:ascii="Calibri" w:hAnsi="Calibri" w:cs="Calibri"/>
                <w:shd w:val="clear" w:color="auto" w:fill="FFFFFF"/>
              </w:rPr>
              <w:t> </w:t>
            </w:r>
            <w:r w:rsidRPr="00A365A5">
              <w:rPr>
                <w:rFonts w:ascii="Calibri" w:hAnsi="Calibri" w:cs="Calibri"/>
                <w:shd w:val="clear" w:color="auto" w:fill="FFFFFF"/>
              </w:rPr>
              <w:t> </w:t>
            </w:r>
            <w:r w:rsidRPr="00A365A5">
              <w:rPr>
                <w:rFonts w:ascii="Calibri" w:hAnsi="Calibri" w:cs="Calibri"/>
                <w:b/>
                <w:bCs/>
                <w:spacing w:val="1"/>
                <w:shd w:val="clear" w:color="auto" w:fill="FFFFFF"/>
              </w:rPr>
              <w:t>ÇEVRE İZİN VE LİSANS YÖNETMELİĞİNİN EK-3C SİNDE YER ALAN TEKNİK UYGUNLUK RAPORUNUN KAPSAMINDA OLMASI GEREKEN BİLGİ VE BELGELER</w:t>
            </w:r>
          </w:p>
        </w:tc>
      </w:tr>
      <w:tr w:rsidR="00A365A5" w:rsidRPr="00A365A5" w:rsidTr="008D5F56">
        <w:trPr>
          <w:jc w:val="center"/>
        </w:trPr>
        <w:tc>
          <w:tcPr>
            <w:tcW w:w="456" w:type="dxa"/>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b/>
                <w:bCs/>
                <w:lang w:eastAsia="tr-TR"/>
              </w:rPr>
              <w:t>1</w:t>
            </w:r>
          </w:p>
        </w:tc>
        <w:tc>
          <w:tcPr>
            <w:tcW w:w="8049" w:type="dxa"/>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Geri kazanım verimi </w:t>
            </w:r>
          </w:p>
        </w:tc>
      </w:tr>
      <w:tr w:rsidR="00A365A5" w:rsidRPr="00A365A5" w:rsidTr="008D5F56">
        <w:trPr>
          <w:jc w:val="center"/>
        </w:trPr>
        <w:tc>
          <w:tcPr>
            <w:tcW w:w="456" w:type="dxa"/>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b/>
                <w:bCs/>
                <w:lang w:eastAsia="tr-TR"/>
              </w:rPr>
              <w:t>2</w:t>
            </w:r>
          </w:p>
        </w:tc>
        <w:tc>
          <w:tcPr>
            <w:tcW w:w="8049" w:type="dxa"/>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Atığın temin edileceği yerler </w:t>
            </w:r>
          </w:p>
        </w:tc>
      </w:tr>
      <w:tr w:rsidR="00A365A5" w:rsidRPr="00A365A5" w:rsidTr="008D5F56">
        <w:trPr>
          <w:jc w:val="center"/>
        </w:trPr>
        <w:tc>
          <w:tcPr>
            <w:tcW w:w="456" w:type="dxa"/>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b/>
                <w:bCs/>
                <w:lang w:eastAsia="tr-TR"/>
              </w:rPr>
              <w:t>3</w:t>
            </w:r>
          </w:p>
        </w:tc>
        <w:tc>
          <w:tcPr>
            <w:tcW w:w="8049" w:type="dxa"/>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Tesiste atık işlemede kullanılan kimyasal maddelerin isimleri, miktarı (ton/ yıl) ve depolama şekilleri</w:t>
            </w:r>
          </w:p>
        </w:tc>
      </w:tr>
      <w:tr w:rsidR="00A365A5" w:rsidRPr="00A365A5" w:rsidTr="008D5F56">
        <w:trPr>
          <w:jc w:val="center"/>
        </w:trPr>
        <w:tc>
          <w:tcPr>
            <w:tcW w:w="456" w:type="dxa"/>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b/>
                <w:bCs/>
                <w:lang w:eastAsia="tr-TR"/>
              </w:rPr>
              <w:t>4</w:t>
            </w:r>
          </w:p>
        </w:tc>
        <w:tc>
          <w:tcPr>
            <w:tcW w:w="8049" w:type="dxa"/>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Hammadde ve ürün stok alanlarının kapasiteleri ile stok alanlarında alınacak güvenlik tedbirleri</w:t>
            </w:r>
          </w:p>
        </w:tc>
      </w:tr>
      <w:tr w:rsidR="00A365A5" w:rsidRPr="00A365A5" w:rsidTr="008D5F56">
        <w:trPr>
          <w:jc w:val="center"/>
        </w:trPr>
        <w:tc>
          <w:tcPr>
            <w:tcW w:w="456" w:type="dxa"/>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b/>
                <w:bCs/>
                <w:lang w:eastAsia="tr-TR"/>
              </w:rPr>
              <w:t>5</w:t>
            </w:r>
          </w:p>
        </w:tc>
        <w:tc>
          <w:tcPr>
            <w:tcW w:w="8049" w:type="dxa"/>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Geri kazanım sonucu elde edilecek ürünler, ürünlere ait etiketleme ve ambalajlama bilgileri</w:t>
            </w:r>
          </w:p>
        </w:tc>
      </w:tr>
      <w:tr w:rsidR="00A365A5" w:rsidRPr="00A365A5" w:rsidTr="008D5F56">
        <w:trPr>
          <w:jc w:val="center"/>
        </w:trPr>
        <w:tc>
          <w:tcPr>
            <w:tcW w:w="456" w:type="dxa"/>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b/>
                <w:bCs/>
                <w:lang w:eastAsia="tr-TR"/>
              </w:rPr>
              <w:t>6</w:t>
            </w:r>
          </w:p>
        </w:tc>
        <w:tc>
          <w:tcPr>
            <w:tcW w:w="8049" w:type="dxa"/>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Geri kazanılamayan atıkların, bileşimi, miktarı ve nasıl bertaraf edilecekleri</w:t>
            </w:r>
          </w:p>
        </w:tc>
      </w:tr>
      <w:tr w:rsidR="00A365A5" w:rsidRPr="00A365A5" w:rsidTr="008D5F56">
        <w:trPr>
          <w:jc w:val="center"/>
        </w:trPr>
        <w:tc>
          <w:tcPr>
            <w:tcW w:w="456" w:type="dxa"/>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b/>
                <w:bCs/>
                <w:lang w:eastAsia="tr-TR"/>
              </w:rPr>
              <w:t>7</w:t>
            </w:r>
          </w:p>
        </w:tc>
        <w:tc>
          <w:tcPr>
            <w:tcW w:w="8049" w:type="dxa"/>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Geri kazanım tesislerinden elde edilecek ikincil ürünün özellikleri ve bu ürünün kullanılabilirliğini içeren teknik bir rapor ve/veya Geri kazanılan ürünlerinin piyasaya ürün olarak sürülebilmesi için ilgili kurum/kuruluşlardan alınacak belge ve/veya Geri kazanılan ürünlerin standartları, ticari isimleri ve üretim miktarları (ton/ yıl)</w:t>
            </w:r>
          </w:p>
        </w:tc>
      </w:tr>
      <w:tr w:rsidR="00A365A5" w:rsidRPr="00A365A5" w:rsidTr="008D5F56">
        <w:trPr>
          <w:jc w:val="center"/>
        </w:trPr>
        <w:tc>
          <w:tcPr>
            <w:tcW w:w="456" w:type="dxa"/>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b/>
                <w:bCs/>
                <w:lang w:eastAsia="tr-TR"/>
              </w:rPr>
              <w:t>8</w:t>
            </w:r>
          </w:p>
        </w:tc>
        <w:tc>
          <w:tcPr>
            <w:tcW w:w="8049" w:type="dxa"/>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Tesise gelen atıkların Atık Yönetimi Genel Esaslarına İlişkin Yönetmelik Ek-IV ünde verilen atık kodları ve tahmini yıllık miktarları aşağıda yer alan tabloya göre detaylı olarak belirtilir.</w:t>
            </w:r>
          </w:p>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 </w:t>
            </w:r>
          </w:p>
          <w:tbl>
            <w:tblPr>
              <w:tblW w:w="0" w:type="auto"/>
              <w:jc w:val="center"/>
              <w:tblInd w:w="648" w:type="dxa"/>
              <w:tblCellMar>
                <w:left w:w="0" w:type="dxa"/>
                <w:right w:w="0" w:type="dxa"/>
              </w:tblCellMar>
              <w:tblLook w:val="04A0"/>
            </w:tblPr>
            <w:tblGrid>
              <w:gridCol w:w="2121"/>
              <w:gridCol w:w="2211"/>
              <w:gridCol w:w="2833"/>
            </w:tblGrid>
            <w:tr w:rsidR="00A365A5" w:rsidRPr="00A365A5">
              <w:trPr>
                <w:jc w:val="center"/>
              </w:trPr>
              <w:tc>
                <w:tcPr>
                  <w:tcW w:w="22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b/>
                      <w:bCs/>
                      <w:lang w:eastAsia="tr-TR"/>
                    </w:rPr>
                    <w:t>Atığın Kodu/</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b/>
                      <w:bCs/>
                      <w:lang w:eastAsia="tr-TR"/>
                    </w:rPr>
                    <w:t>G.T.İ.P. Numarası</w:t>
                  </w:r>
                  <w:r w:rsidRPr="00A365A5">
                    <w:rPr>
                      <w:rFonts w:eastAsia="Times New Roman" w:cstheme="minorHAnsi"/>
                      <w:b/>
                      <w:bCs/>
                      <w:vertAlign w:val="superscript"/>
                      <w:lang w:eastAsia="tr-TR"/>
                    </w:rPr>
                    <w:t>1</w:t>
                  </w:r>
                </w:p>
              </w:tc>
              <w:tc>
                <w:tcPr>
                  <w:tcW w:w="30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b/>
                      <w:bCs/>
                      <w:lang w:eastAsia="tr-TR"/>
                    </w:rPr>
                    <w:t>Miktarı (Ton/Yıl)</w:t>
                  </w:r>
                </w:p>
              </w:tc>
            </w:tr>
            <w:tr w:rsidR="00A365A5" w:rsidRPr="00A365A5">
              <w:trPr>
                <w:jc w:val="center"/>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                </w:t>
                  </w:r>
                </w:p>
              </w:tc>
              <w:tc>
                <w:tcPr>
                  <w:tcW w:w="3058"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 </w:t>
                  </w:r>
                </w:p>
              </w:tc>
            </w:tr>
            <w:tr w:rsidR="00A365A5" w:rsidRPr="00A365A5">
              <w:trPr>
                <w:jc w:val="center"/>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                </w:t>
                  </w:r>
                </w:p>
              </w:tc>
              <w:tc>
                <w:tcPr>
                  <w:tcW w:w="3058"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 </w:t>
                  </w:r>
                </w:p>
              </w:tc>
            </w:tr>
            <w:tr w:rsidR="00A365A5" w:rsidRPr="00A365A5">
              <w:trPr>
                <w:jc w:val="center"/>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                </w:t>
                  </w:r>
                </w:p>
              </w:tc>
              <w:tc>
                <w:tcPr>
                  <w:tcW w:w="3058"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 </w:t>
                  </w:r>
                </w:p>
              </w:tc>
            </w:tr>
            <w:tr w:rsidR="00A365A5" w:rsidRPr="00A365A5">
              <w:trPr>
                <w:jc w:val="center"/>
              </w:trPr>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                </w:t>
                  </w:r>
                </w:p>
              </w:tc>
              <w:tc>
                <w:tcPr>
                  <w:tcW w:w="3058"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 </w:t>
                  </w:r>
                </w:p>
              </w:tc>
            </w:tr>
          </w:tbl>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 </w:t>
            </w:r>
          </w:p>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 </w:t>
            </w:r>
          </w:p>
        </w:tc>
      </w:tr>
    </w:tbl>
    <w:p w:rsidR="008D5F56" w:rsidRPr="00A365A5" w:rsidRDefault="008D5F56" w:rsidP="008D5F56">
      <w:pPr>
        <w:shd w:val="clear" w:color="auto" w:fill="FFFFFF"/>
        <w:spacing w:after="0" w:line="240" w:lineRule="auto"/>
        <w:jc w:val="both"/>
        <w:rPr>
          <w:rFonts w:eastAsia="Times New Roman" w:cstheme="minorHAnsi"/>
          <w:lang w:eastAsia="tr-TR"/>
        </w:rPr>
      </w:pPr>
      <w:r w:rsidRPr="00A365A5">
        <w:rPr>
          <w:rFonts w:eastAsia="Times New Roman" w:cstheme="minorHAnsi"/>
          <w:lang w:eastAsia="tr-TR"/>
        </w:rPr>
        <w:t> </w:t>
      </w:r>
    </w:p>
    <w:tbl>
      <w:tblPr>
        <w:tblW w:w="8505" w:type="dxa"/>
        <w:jc w:val="center"/>
        <w:tblCellMar>
          <w:left w:w="0" w:type="dxa"/>
          <w:right w:w="0" w:type="dxa"/>
        </w:tblCellMar>
        <w:tblLook w:val="04A0"/>
      </w:tblPr>
      <w:tblGrid>
        <w:gridCol w:w="4140"/>
        <w:gridCol w:w="4365"/>
      </w:tblGrid>
      <w:tr w:rsidR="00A365A5" w:rsidRPr="00A365A5" w:rsidTr="008D5F56">
        <w:trPr>
          <w:jc w:val="center"/>
        </w:trPr>
        <w:tc>
          <w:tcPr>
            <w:tcW w:w="4140" w:type="dxa"/>
            <w:tcMar>
              <w:top w:w="0" w:type="dxa"/>
              <w:left w:w="108" w:type="dxa"/>
              <w:bottom w:w="0" w:type="dxa"/>
              <w:right w:w="108" w:type="dxa"/>
            </w:tcMar>
            <w:hideMark/>
          </w:tcPr>
          <w:p w:rsidR="008D5F56" w:rsidRPr="00A365A5" w:rsidRDefault="008D5F56" w:rsidP="008D5F56">
            <w:pPr>
              <w:spacing w:after="0" w:line="240" w:lineRule="auto"/>
              <w:rPr>
                <w:rFonts w:eastAsia="Times New Roman" w:cstheme="minorHAnsi"/>
                <w:lang w:eastAsia="tr-TR"/>
              </w:rPr>
            </w:pPr>
            <w:r w:rsidRPr="00A365A5">
              <w:rPr>
                <w:rFonts w:eastAsia="Times New Roman" w:cstheme="minorHAnsi"/>
                <w:lang w:eastAsia="tr-TR"/>
              </w:rPr>
              <w:t> </w:t>
            </w:r>
          </w:p>
        </w:tc>
        <w:tc>
          <w:tcPr>
            <w:tcW w:w="4365" w:type="dxa"/>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Başvuru Sahibinin/Şirketin</w:t>
            </w:r>
          </w:p>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Yetkilisi</w:t>
            </w:r>
          </w:p>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Tarih</w:t>
            </w:r>
          </w:p>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İsim, İmza</w:t>
            </w:r>
          </w:p>
        </w:tc>
      </w:tr>
    </w:tbl>
    <w:p w:rsidR="008D5F56" w:rsidRPr="00A365A5" w:rsidRDefault="008D5F56" w:rsidP="008D5F56">
      <w:pPr>
        <w:shd w:val="clear" w:color="auto" w:fill="FFFFFF"/>
        <w:spacing w:after="0" w:line="240" w:lineRule="auto"/>
        <w:ind w:firstLine="709"/>
        <w:rPr>
          <w:rFonts w:eastAsia="Times New Roman" w:cstheme="minorHAnsi"/>
          <w:lang w:eastAsia="tr-TR"/>
        </w:rPr>
      </w:pPr>
      <w:r w:rsidRPr="00A365A5">
        <w:rPr>
          <w:rFonts w:eastAsia="Times New Roman" w:cstheme="minorHAnsi"/>
          <w:lang w:eastAsia="tr-TR"/>
        </w:rPr>
        <w:t> </w:t>
      </w:r>
    </w:p>
    <w:p w:rsidR="008D5F56" w:rsidRPr="00A365A5" w:rsidRDefault="008D5F56" w:rsidP="008D5F56">
      <w:pPr>
        <w:shd w:val="clear" w:color="auto" w:fill="FFFFFF"/>
        <w:spacing w:after="0" w:line="240" w:lineRule="auto"/>
        <w:ind w:firstLine="709"/>
        <w:rPr>
          <w:rFonts w:eastAsia="Times New Roman" w:cstheme="minorHAnsi"/>
          <w:lang w:eastAsia="tr-TR"/>
        </w:rPr>
      </w:pPr>
      <w:r w:rsidRPr="00A365A5">
        <w:rPr>
          <w:rFonts w:eastAsia="Times New Roman" w:cstheme="minorHAnsi"/>
          <w:lang w:eastAsia="tr-TR"/>
        </w:rPr>
        <w:t> </w:t>
      </w:r>
    </w:p>
    <w:p w:rsidR="008D5F56" w:rsidRPr="00A365A5" w:rsidRDefault="008D5F56" w:rsidP="008D5F56">
      <w:pPr>
        <w:shd w:val="clear" w:color="auto" w:fill="FFFFFF"/>
        <w:spacing w:after="0" w:line="240" w:lineRule="auto"/>
        <w:ind w:firstLine="709"/>
        <w:rPr>
          <w:rFonts w:eastAsia="Times New Roman" w:cstheme="minorHAnsi"/>
          <w:lang w:eastAsia="tr-TR"/>
        </w:rPr>
      </w:pPr>
      <w:r w:rsidRPr="00A365A5">
        <w:rPr>
          <w:rFonts w:eastAsia="Times New Roman" w:cstheme="minorHAnsi"/>
          <w:lang w:eastAsia="tr-TR"/>
        </w:rPr>
        <w:t> </w:t>
      </w:r>
    </w:p>
    <w:p w:rsidR="008D5F56" w:rsidRPr="00A365A5" w:rsidRDefault="008D5F56" w:rsidP="008D5F56">
      <w:pPr>
        <w:shd w:val="clear" w:color="auto" w:fill="FFFFFF"/>
        <w:spacing w:after="0" w:line="240" w:lineRule="auto"/>
        <w:ind w:firstLine="709"/>
        <w:jc w:val="both"/>
        <w:rPr>
          <w:rFonts w:eastAsia="Times New Roman" w:cstheme="minorHAnsi"/>
          <w:lang w:eastAsia="tr-TR"/>
        </w:rPr>
      </w:pPr>
      <w:r w:rsidRPr="00A365A5">
        <w:rPr>
          <w:rFonts w:eastAsia="Times New Roman" w:cstheme="minorHAnsi"/>
          <w:lang w:eastAsia="tr-TR"/>
        </w:rPr>
        <w:t>Not: Müracaat dosyasında bulunan evrakların her sayfası imzalı ve kaşeli olacaktır.</w:t>
      </w:r>
    </w:p>
    <w:p w:rsidR="008D5F56" w:rsidRPr="00A365A5" w:rsidRDefault="008D5F56" w:rsidP="008D5F56">
      <w:pPr>
        <w:shd w:val="clear" w:color="auto" w:fill="FFFFFF"/>
        <w:spacing w:after="0" w:line="240" w:lineRule="auto"/>
        <w:ind w:firstLine="709"/>
        <w:rPr>
          <w:rFonts w:eastAsia="Times New Roman" w:cstheme="minorHAnsi"/>
          <w:lang w:eastAsia="tr-TR"/>
        </w:rPr>
      </w:pPr>
      <w:r w:rsidRPr="00A365A5">
        <w:rPr>
          <w:rFonts w:eastAsia="Times New Roman" w:cstheme="minorHAnsi"/>
          <w:lang w:eastAsia="tr-TR"/>
        </w:rPr>
        <w:t> </w:t>
      </w:r>
    </w:p>
    <w:p w:rsidR="008D5F56" w:rsidRPr="00A365A5" w:rsidRDefault="008D5F56" w:rsidP="008D5F56">
      <w:pPr>
        <w:shd w:val="clear" w:color="auto" w:fill="FFFFFF"/>
        <w:spacing w:after="0" w:line="240" w:lineRule="auto"/>
        <w:ind w:firstLine="709"/>
        <w:rPr>
          <w:rFonts w:eastAsia="Times New Roman" w:cstheme="minorHAnsi"/>
          <w:lang w:eastAsia="tr-TR"/>
        </w:rPr>
      </w:pPr>
      <w:r w:rsidRPr="00A365A5">
        <w:rPr>
          <w:rFonts w:eastAsia="Times New Roman" w:cstheme="minorHAnsi"/>
          <w:lang w:eastAsia="tr-TR"/>
        </w:rPr>
        <w:t> </w:t>
      </w:r>
    </w:p>
    <w:p w:rsidR="008D5F56" w:rsidRPr="00A365A5" w:rsidRDefault="008D5F56" w:rsidP="008D5F56">
      <w:pPr>
        <w:shd w:val="clear" w:color="auto" w:fill="FFFFFF"/>
        <w:spacing w:after="0" w:line="240" w:lineRule="auto"/>
        <w:ind w:firstLine="709"/>
        <w:rPr>
          <w:rFonts w:eastAsia="Times New Roman" w:cstheme="minorHAnsi"/>
          <w:lang w:eastAsia="tr-TR"/>
        </w:rPr>
      </w:pPr>
      <w:r w:rsidRPr="00A365A5">
        <w:rPr>
          <w:rFonts w:eastAsia="Times New Roman" w:cstheme="minorHAnsi"/>
          <w:lang w:eastAsia="tr-TR"/>
        </w:rPr>
        <w:t> </w:t>
      </w:r>
    </w:p>
    <w:p w:rsidR="008D5F56" w:rsidRPr="00A365A5" w:rsidRDefault="008D5F56" w:rsidP="008D5F56">
      <w:pPr>
        <w:shd w:val="clear" w:color="auto" w:fill="FFFFFF"/>
        <w:spacing w:after="0" w:line="240" w:lineRule="auto"/>
        <w:ind w:firstLine="18"/>
        <w:rPr>
          <w:rFonts w:eastAsia="Times New Roman" w:cstheme="minorHAnsi"/>
          <w:lang w:eastAsia="tr-TR"/>
        </w:rPr>
      </w:pPr>
      <w:r w:rsidRPr="00A365A5">
        <w:rPr>
          <w:rFonts w:eastAsia="Times New Roman" w:cstheme="minorHAnsi"/>
          <w:lang w:eastAsia="tr-TR"/>
        </w:rPr>
        <w:t>------------------------</w:t>
      </w:r>
    </w:p>
    <w:p w:rsidR="008D5F56" w:rsidRPr="00A365A5" w:rsidRDefault="008D5F56" w:rsidP="008D5F56">
      <w:pPr>
        <w:shd w:val="clear" w:color="auto" w:fill="FFFFFF"/>
        <w:spacing w:after="0" w:line="240" w:lineRule="auto"/>
        <w:ind w:firstLine="18"/>
        <w:rPr>
          <w:rFonts w:eastAsia="Times New Roman" w:cstheme="minorHAnsi"/>
          <w:lang w:eastAsia="tr-TR"/>
        </w:rPr>
      </w:pPr>
      <w:r w:rsidRPr="00A365A5">
        <w:rPr>
          <w:rFonts w:eastAsia="Times New Roman" w:cstheme="minorHAnsi"/>
          <w:vertAlign w:val="superscript"/>
          <w:lang w:eastAsia="tr-TR"/>
        </w:rPr>
        <w:t>1</w:t>
      </w:r>
      <w:r w:rsidRPr="00A365A5">
        <w:rPr>
          <w:rFonts w:eastAsia="Times New Roman" w:cstheme="minorHAnsi"/>
          <w:lang w:eastAsia="tr-TR"/>
        </w:rPr>
        <w:t> Alınan çevre lisansı ile atık ithalatı yapılacaksa geri kazanılacak atıkların G.T.İ.P. numaraları verilmelidir.</w:t>
      </w:r>
    </w:p>
    <w:p w:rsidR="008D5F56" w:rsidRPr="00A365A5" w:rsidRDefault="008D5F56" w:rsidP="008D5F56">
      <w:pPr>
        <w:spacing w:line="240" w:lineRule="auto"/>
        <w:rPr>
          <w:rFonts w:cstheme="minorHAnsi"/>
        </w:rPr>
      </w:pPr>
      <w:r w:rsidRPr="00A365A5">
        <w:rPr>
          <w:rFonts w:cstheme="minorHAnsi"/>
        </w:rPr>
        <w:br w:type="page"/>
      </w:r>
    </w:p>
    <w:p w:rsidR="008D5F56" w:rsidRPr="00A365A5" w:rsidRDefault="008D5F56" w:rsidP="008D5F56">
      <w:pPr>
        <w:spacing w:after="0" w:line="240" w:lineRule="auto"/>
        <w:jc w:val="right"/>
        <w:rPr>
          <w:rFonts w:eastAsia="Times New Roman" w:cstheme="minorHAnsi"/>
          <w:lang w:eastAsia="tr-TR"/>
        </w:rPr>
      </w:pPr>
      <w:r w:rsidRPr="00A365A5">
        <w:rPr>
          <w:rFonts w:eastAsia="Times New Roman" w:cstheme="minorHAnsi"/>
          <w:b/>
          <w:bCs/>
          <w:lang w:eastAsia="tr-TR"/>
        </w:rPr>
        <w:lastRenderedPageBreak/>
        <w:t>EK-2</w:t>
      </w:r>
    </w:p>
    <w:p w:rsidR="008D5F56" w:rsidRPr="00A365A5" w:rsidRDefault="008D5F56" w:rsidP="008D5F56">
      <w:pPr>
        <w:spacing w:after="0" w:line="240" w:lineRule="auto"/>
        <w:jc w:val="right"/>
        <w:rPr>
          <w:rFonts w:eastAsia="Times New Roman" w:cstheme="minorHAnsi"/>
          <w:lang w:eastAsia="tr-TR"/>
        </w:rPr>
      </w:pPr>
      <w:r w:rsidRPr="00A365A5">
        <w:rPr>
          <w:rFonts w:eastAsia="Times New Roman" w:cstheme="minorHAnsi"/>
          <w:b/>
          <w:bCs/>
          <w:lang w:eastAsia="tr-TR"/>
        </w:rPr>
        <w:t> </w:t>
      </w:r>
    </w:p>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b/>
          <w:bCs/>
          <w:lang w:eastAsia="tr-TR"/>
        </w:rPr>
        <w:t>TEBLİĞ KAPSAMINDA OLMAYAN TEHLİKESİZ ATIKLAR</w:t>
      </w:r>
    </w:p>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b/>
          <w:bCs/>
          <w:lang w:eastAsia="tr-TR"/>
        </w:rPr>
        <w:t> </w:t>
      </w:r>
    </w:p>
    <w:tbl>
      <w:tblPr>
        <w:tblW w:w="9162" w:type="dxa"/>
        <w:jc w:val="center"/>
        <w:tblCellMar>
          <w:left w:w="0" w:type="dxa"/>
          <w:right w:w="0" w:type="dxa"/>
        </w:tblCellMar>
        <w:tblLook w:val="04A0"/>
      </w:tblPr>
      <w:tblGrid>
        <w:gridCol w:w="1259"/>
        <w:gridCol w:w="6964"/>
        <w:gridCol w:w="939"/>
      </w:tblGrid>
      <w:tr w:rsidR="00A365A5" w:rsidRPr="00A365A5" w:rsidTr="008D5F56">
        <w:trPr>
          <w:cantSplit/>
          <w:jc w:val="center"/>
        </w:trPr>
        <w:tc>
          <w:tcPr>
            <w:tcW w:w="12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b/>
                <w:bCs/>
                <w:lang w:eastAsia="tr-TR"/>
              </w:rPr>
              <w:t>02</w:t>
            </w:r>
          </w:p>
        </w:tc>
        <w:tc>
          <w:tcPr>
            <w:tcW w:w="69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b/>
                <w:bCs/>
                <w:spacing w:val="-1"/>
                <w:lang w:eastAsia="tr-TR"/>
              </w:rPr>
              <w:t>TARIM, BAHÇIVANLIK, SU KÜLTÜRÜ, ORMANCILIK, AVCILIK VE BALIKÇILIK, GIDA HAZIRLAMA VE İŞLEMEDEN KAYNAKLANAN ATIKLAR</w:t>
            </w:r>
          </w:p>
        </w:tc>
        <w:tc>
          <w:tcPr>
            <w:tcW w:w="9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02 01 03</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Bitki dokusu atıkları</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02 01 06</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Ayrı toplanmış ve saha dışında işlem görecek hayvan pislikleri, idrar ve tezek (pisletilmiş saman dahil), akan sıvılar</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 </w:t>
            </w:r>
          </w:p>
        </w:tc>
      </w:tr>
      <w:tr w:rsidR="00A365A5" w:rsidRPr="00A365A5" w:rsidTr="00305E10">
        <w:trPr>
          <w:cantSplit/>
          <w:jc w:val="center"/>
        </w:trPr>
        <w:tc>
          <w:tcPr>
            <w:tcW w:w="916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5E10" w:rsidRPr="00A365A5" w:rsidRDefault="00305E10" w:rsidP="00305E10">
            <w:pPr>
              <w:spacing w:after="0" w:line="240" w:lineRule="auto"/>
              <w:jc w:val="center"/>
              <w:rPr>
                <w:rStyle w:val="apple-converted-space"/>
                <w:rFonts w:ascii="Calibri" w:hAnsi="Calibri" w:cs="Calibri"/>
              </w:rPr>
            </w:pPr>
            <w:r w:rsidRPr="00A365A5">
              <w:rPr>
                <w:rFonts w:ascii="Calibri" w:hAnsi="Calibri" w:cs="Calibri"/>
                <w:b/>
                <w:bCs/>
              </w:rPr>
              <w:t>(Mülga:RG-11/3/2015-29292)</w:t>
            </w:r>
          </w:p>
          <w:p w:rsidR="00305E10" w:rsidRPr="00A365A5" w:rsidRDefault="00305E10" w:rsidP="00305E10">
            <w:pPr>
              <w:spacing w:after="0" w:line="240" w:lineRule="auto"/>
              <w:jc w:val="center"/>
              <w:rPr>
                <w:sz w:val="24"/>
                <w:szCs w:val="24"/>
              </w:rPr>
            </w:pPr>
            <w:r w:rsidRPr="00A365A5">
              <w:rPr>
                <w:rFonts w:ascii="Calibri" w:hAnsi="Calibri" w:cs="Calibri"/>
                <w:b/>
                <w:bCs/>
              </w:rPr>
              <w:t>02 03</w:t>
            </w:r>
            <w:r w:rsidRPr="00A365A5">
              <w:rPr>
                <w:rFonts w:ascii="Calibri" w:hAnsi="Calibri" w:cs="Calibri"/>
              </w:rPr>
              <w:t> </w:t>
            </w:r>
          </w:p>
        </w:tc>
      </w:tr>
      <w:tr w:rsidR="00A365A5" w:rsidRPr="00A365A5" w:rsidTr="00305E10">
        <w:trPr>
          <w:cantSplit/>
          <w:jc w:val="center"/>
        </w:trPr>
        <w:tc>
          <w:tcPr>
            <w:tcW w:w="916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5E10" w:rsidRPr="00A365A5" w:rsidRDefault="00305E10" w:rsidP="00305E10">
            <w:pPr>
              <w:spacing w:after="0" w:line="240" w:lineRule="auto"/>
              <w:jc w:val="center"/>
              <w:rPr>
                <w:rFonts w:ascii="Calibri" w:hAnsi="Calibri" w:cs="Calibri"/>
                <w:b/>
                <w:bCs/>
              </w:rPr>
            </w:pPr>
            <w:r w:rsidRPr="00A365A5">
              <w:rPr>
                <w:rFonts w:ascii="Calibri" w:hAnsi="Calibri" w:cs="Calibri"/>
                <w:b/>
                <w:bCs/>
              </w:rPr>
              <w:t>(Mülga:RG-11/3/2015-29292)</w:t>
            </w:r>
          </w:p>
          <w:p w:rsidR="00305E10" w:rsidRPr="00A365A5" w:rsidRDefault="00305E10" w:rsidP="00305E10">
            <w:pPr>
              <w:spacing w:after="0" w:line="240" w:lineRule="auto"/>
              <w:jc w:val="center"/>
              <w:rPr>
                <w:sz w:val="24"/>
                <w:szCs w:val="24"/>
              </w:rPr>
            </w:pPr>
            <w:r w:rsidRPr="00A365A5">
              <w:rPr>
                <w:rFonts w:ascii="Calibri" w:hAnsi="Calibri" w:cs="Calibri"/>
              </w:rPr>
              <w:t>02 03 01 </w:t>
            </w:r>
          </w:p>
        </w:tc>
      </w:tr>
      <w:tr w:rsidR="00A365A5" w:rsidRPr="00A365A5" w:rsidTr="00305E10">
        <w:trPr>
          <w:cantSplit/>
          <w:jc w:val="center"/>
        </w:trPr>
        <w:tc>
          <w:tcPr>
            <w:tcW w:w="916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5E10" w:rsidRPr="00A365A5" w:rsidRDefault="00305E10" w:rsidP="00305E10">
            <w:pPr>
              <w:spacing w:after="0" w:line="240" w:lineRule="auto"/>
              <w:jc w:val="center"/>
              <w:rPr>
                <w:rFonts w:ascii="Calibri" w:hAnsi="Calibri" w:cs="Calibri"/>
                <w:b/>
                <w:bCs/>
              </w:rPr>
            </w:pPr>
            <w:r w:rsidRPr="00A365A5">
              <w:rPr>
                <w:rFonts w:ascii="Calibri" w:hAnsi="Calibri" w:cs="Calibri"/>
                <w:b/>
                <w:bCs/>
              </w:rPr>
              <w:t>(Mülga:RG-11/3/2015-29292)</w:t>
            </w:r>
          </w:p>
          <w:p w:rsidR="00305E10" w:rsidRPr="00A365A5" w:rsidRDefault="00305E10" w:rsidP="00305E10">
            <w:pPr>
              <w:spacing w:after="0" w:line="240" w:lineRule="auto"/>
              <w:jc w:val="center"/>
              <w:rPr>
                <w:sz w:val="24"/>
                <w:szCs w:val="24"/>
              </w:rPr>
            </w:pPr>
            <w:r w:rsidRPr="00A365A5">
              <w:rPr>
                <w:rFonts w:ascii="Calibri" w:hAnsi="Calibri" w:cs="Calibri"/>
              </w:rPr>
              <w:t>02 03 04 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b/>
                <w:bCs/>
                <w:lang w:eastAsia="tr-TR"/>
              </w:rPr>
              <w:t>15</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b/>
                <w:bCs/>
                <w:spacing w:val="-1"/>
                <w:lang w:eastAsia="tr-TR"/>
              </w:rPr>
              <w:t>ATIK AMBALAJLAR; BAŞKA BİR ŞEKİLDE BELİRTİLMEMİŞ EMİCİLER, SİLME BEZLERİ, FİLTRE MALZEMELERİ VE KORUYUCU GİYSİLER</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b/>
                <w:bCs/>
                <w:lang w:eastAsia="tr-TR"/>
              </w:rPr>
              <w:t>15 01</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b/>
                <w:bCs/>
                <w:spacing w:val="-1"/>
                <w:lang w:eastAsia="tr-TR"/>
              </w:rPr>
              <w:t>Ambalaj (Belediyenin Ayrı Toplanmış Ambalaj Atıkları Dahil)</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15 01 01</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Kağıt ve karton ambalaj</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15 01 02</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Plastik ambalaj</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15 01 03</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Ahşap ambalaj</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15 01 04</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Metalik ambalaj</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15 01 05</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Kompozit ambalaj</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15 01 06</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Karışık ambalaj</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15 01 07</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Cam ambalaj</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15 01 09</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Tekstil ambalaj</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b/>
                <w:bCs/>
                <w:lang w:eastAsia="tr-TR"/>
              </w:rPr>
              <w:t>16</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b/>
                <w:bCs/>
                <w:spacing w:val="-1"/>
                <w:lang w:eastAsia="tr-TR"/>
              </w:rPr>
              <w:t>LİSTEDE BAŞKA BİR ŞEKİLDE BELİRTİLMEMİŞ ATIKLAR</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b/>
                <w:bCs/>
                <w:lang w:eastAsia="tr-TR"/>
              </w:rPr>
              <w:t>16 01</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b/>
                <w:bCs/>
                <w:spacing w:val="-1"/>
                <w:lang w:eastAsia="tr-TR"/>
              </w:rPr>
              <w:t>Çeşitli Taşıma Türlerindeki (İş Makineleri Dahil) Ömrünü Tamamlamış Araçlar ve Ömrünü Tamamlamış Araçların Sökülmesi ile Araç Bakımından (13, 14, 16 06 ve 16 08 hariç) Kaynaklanan Atıklar</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16 01 03</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Ömrünü tamamlamış lastikler</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b/>
                <w:bCs/>
                <w:lang w:eastAsia="tr-TR"/>
              </w:rPr>
              <w:t>16 02</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b/>
                <w:bCs/>
                <w:spacing w:val="-1"/>
                <w:lang w:eastAsia="tr-TR"/>
              </w:rPr>
              <w:t>Elektrikli ve Elektronik Ekipman Atıkları</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16 02 14</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16 02 09’dan 16 02 13’e </w:t>
            </w:r>
            <w:r w:rsidRPr="00A365A5">
              <w:rPr>
                <w:rFonts w:eastAsia="Times New Roman" w:cstheme="minorHAnsi"/>
                <w:spacing w:val="-1"/>
                <w:lang w:eastAsia="tr-TR"/>
              </w:rPr>
              <w:t>kadar olanların dışındaki </w:t>
            </w:r>
            <w:r w:rsidRPr="00A365A5">
              <w:rPr>
                <w:rFonts w:eastAsia="Times New Roman" w:cstheme="minorHAnsi"/>
                <w:lang w:eastAsia="tr-TR"/>
              </w:rPr>
              <w:t>ıskarta ekipmanlar</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16 02 16</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16 02 15 dışındaki ıskarta ekipmanlardan çıkartılmış parçalar</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b/>
                <w:bCs/>
                <w:lang w:eastAsia="tr-TR"/>
              </w:rPr>
              <w:t>16 06</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b/>
                <w:bCs/>
                <w:spacing w:val="-1"/>
                <w:lang w:eastAsia="tr-TR"/>
              </w:rPr>
              <w:t>Piller ve Aküler</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16 06 04</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Alkali piller (16 06 03 hariç)</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16 06 05</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Diğer piller ve akümülatörler</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b/>
                <w:bCs/>
                <w:lang w:eastAsia="tr-TR"/>
              </w:rPr>
              <w:t>17</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b/>
                <w:bCs/>
                <w:spacing w:val="-1"/>
                <w:lang w:eastAsia="tr-TR"/>
              </w:rPr>
              <w:t>İNŞAAT VE YIKIM ATIKLARI (KİRLENMİŞ ALANLARDAN ÇIKARTILAN HAFRİYAT DAHİL)</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 </w:t>
            </w:r>
          </w:p>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b/>
                <w:bCs/>
                <w:lang w:eastAsia="tr-TR"/>
              </w:rPr>
              <w:t>17 01</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b/>
                <w:bCs/>
                <w:spacing w:val="-1"/>
                <w:lang w:eastAsia="tr-TR"/>
              </w:rPr>
              <w:t>Beton, Tuğla, Kiremit ve Seramik</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17 01 01</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ind w:left="1440" w:hanging="1440"/>
              <w:jc w:val="both"/>
              <w:rPr>
                <w:rFonts w:eastAsia="Times New Roman" w:cstheme="minorHAnsi"/>
                <w:lang w:eastAsia="tr-TR"/>
              </w:rPr>
            </w:pPr>
            <w:r w:rsidRPr="00A365A5">
              <w:rPr>
                <w:rFonts w:eastAsia="Times New Roman" w:cstheme="minorHAnsi"/>
                <w:lang w:eastAsia="tr-TR"/>
              </w:rPr>
              <w:t>Beton</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17 01 02</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Tuğlalar</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17 01 03</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Kiremitler ve seramikler</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17 01 07</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17 01 06 dışındaki beton, tuğla kiremit ve seramik karışımları ya da</w:t>
            </w:r>
            <w:r w:rsidRPr="00A365A5">
              <w:rPr>
                <w:rFonts w:eastAsia="Times New Roman" w:cstheme="minorHAnsi"/>
                <w:spacing w:val="-1"/>
                <w:lang w:eastAsia="tr-TR"/>
              </w:rPr>
              <w:t>ayrılmış grupları</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b/>
                <w:bCs/>
                <w:lang w:eastAsia="tr-TR"/>
              </w:rPr>
              <w:t>17 03</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b/>
                <w:bCs/>
                <w:spacing w:val="-1"/>
                <w:lang w:eastAsia="tr-TR"/>
              </w:rPr>
              <w:t>Bitümlü Karışımlar, Kömür Katranı ve Katranlı Ürünler</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17 03 02</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17 03 01 dışındaki bitümlü karışımlar</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b/>
                <w:bCs/>
                <w:lang w:eastAsia="tr-TR"/>
              </w:rPr>
              <w:t>17 05</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b/>
                <w:bCs/>
                <w:spacing w:val="-1"/>
                <w:lang w:eastAsia="tr-TR"/>
              </w:rPr>
              <w:t>Toprak (Kirlenmiş Yerlerde Yapılan Hafriyat Dahil), Kayalar ve Dip Tarama Çamurları</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17 05 04</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17 05 03 dışındaki toprak ve kayalar</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17 05 08</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17 05 07 dışındaki </w:t>
            </w:r>
            <w:r w:rsidRPr="00A365A5">
              <w:rPr>
                <w:rFonts w:eastAsia="Times New Roman" w:cstheme="minorHAnsi"/>
                <w:spacing w:val="-1"/>
                <w:lang w:eastAsia="tr-TR"/>
              </w:rPr>
              <w:t>demiryolu çakılı</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b/>
                <w:bCs/>
                <w:lang w:eastAsia="tr-TR"/>
              </w:rPr>
              <w:t>17 06</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b/>
                <w:bCs/>
                <w:spacing w:val="-1"/>
                <w:lang w:eastAsia="tr-TR"/>
              </w:rPr>
              <w:t>Yalıtım Malzemeleri ve Asbest İçeren İnşaat Malzemeleri</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lastRenderedPageBreak/>
              <w:t>17 06 04</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17 06 01 ve 17 06 03 dışındaki yalıtım malzemeleri</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17 08 02</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17 08 01 dışındaki alçı bazlı inşaat malzemeleri</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b/>
                <w:bCs/>
                <w:lang w:eastAsia="tr-TR"/>
              </w:rPr>
              <w:t>17 09</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b/>
                <w:bCs/>
                <w:spacing w:val="-1"/>
                <w:lang w:eastAsia="tr-TR"/>
              </w:rPr>
              <w:t>Diğer İnşaat ve Yıkım Atıkları</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17 09 04</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17 09 01, 17 09 02 ve 17 09 03 dışındaki karışık inşaat ve yıkım atıkları</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b/>
                <w:bCs/>
                <w:lang w:eastAsia="tr-TR"/>
              </w:rPr>
              <w:t>18</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b/>
                <w:bCs/>
                <w:spacing w:val="-1"/>
                <w:lang w:eastAsia="tr-TR"/>
              </w:rPr>
              <w:t>İNSAN VE HAYVAN SAĞLIĞI VE/VEYA BU KONULARDAKİ ARAŞTIRMALARDAN KAYNAKLANAN ATIKLAR (DOĞRUDAN SAĞLIĞA İLİŞKİN OLMAYAN MUTFAK VE RESTORAN ATIKLARI HARİÇ)</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b/>
                <w:bCs/>
                <w:lang w:eastAsia="tr-TR"/>
              </w:rPr>
              <w:t>18 01</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b/>
                <w:bCs/>
                <w:spacing w:val="-1"/>
                <w:lang w:eastAsia="tr-TR"/>
              </w:rPr>
              <w:t>İnsanlarda Doğum, Teşhis, Tedavi ya da Hastalık Önleme Çalışmalarından Kaynaklanan Atıklar</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18 01 01</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Kesiciler (18 01 03 hariç)</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18 01 02</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Kan torbaları ve kan yedekleri dahil vücut parçaları ve organları (18 01 03 hariç)</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18 01 04</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spacing w:val="-1"/>
                <w:lang w:eastAsia="tr-TR"/>
              </w:rPr>
              <w:t>Enfeksiyonu önlemek </w:t>
            </w:r>
            <w:r w:rsidRPr="00A365A5">
              <w:rPr>
                <w:rFonts w:eastAsia="Times New Roman" w:cstheme="minorHAnsi"/>
                <w:lang w:eastAsia="tr-TR"/>
              </w:rPr>
              <w:t>amacı ile toplanmaları ve bertarafı özel işleme tabi olmayan atıklar (örneğin sargılar, vücut alçıları, tek kullanımlık giysiler, alt bezleri)</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b/>
                <w:bCs/>
                <w:lang w:eastAsia="tr-TR"/>
              </w:rPr>
              <w:t>19</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b/>
                <w:bCs/>
                <w:spacing w:val="-1"/>
                <w:lang w:eastAsia="tr-TR"/>
              </w:rPr>
              <w:t>ATIK YÖNETİM TESİSLERİNDEN, TESİS DIŞI ATIK SU ARITMA TESİSLERİNDEN VE İNSAN TÜKETİMİ VE ENDÜSTRİYEL KULLANIM İÇİN SU HAZIRLAMA TESİSLERİNDEN KAYNAKLANAN ATIKLAR</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b/>
                <w:bCs/>
                <w:lang w:eastAsia="tr-TR"/>
              </w:rPr>
              <w:t>19 05</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b/>
                <w:bCs/>
                <w:lang w:eastAsia="tr-TR"/>
              </w:rPr>
              <w:t>Katı Atıkların Aerobik Arıtımından Kaynaklanan Atıklar</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19 05 01</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ind w:left="1440" w:hanging="1440"/>
              <w:jc w:val="both"/>
              <w:rPr>
                <w:rFonts w:eastAsia="Times New Roman" w:cstheme="minorHAnsi"/>
                <w:lang w:eastAsia="tr-TR"/>
              </w:rPr>
            </w:pPr>
            <w:r w:rsidRPr="00A365A5">
              <w:rPr>
                <w:rFonts w:eastAsia="Times New Roman" w:cstheme="minorHAnsi"/>
                <w:lang w:eastAsia="tr-TR"/>
              </w:rPr>
              <w:t>Belediye ve benzeri atıklarının kompostlanmamış fraksiyonları</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19 05 02</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Hayvansal ve bitkisel atıklarının kompostlanmamış fraksiyonları</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19 05 03</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Standart dışı kompost</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19 05 99</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Başka bir şekilde tanımlanmamış atıklar</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b/>
                <w:bCs/>
                <w:lang w:eastAsia="tr-TR"/>
              </w:rPr>
              <w:t>19 06</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b/>
                <w:bCs/>
                <w:lang w:eastAsia="tr-TR"/>
              </w:rPr>
              <w:t>Atığın Anaerobik Arıtımından Kaynaklanan Atıklar</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19 06 03</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ind w:left="1440" w:hanging="1440"/>
              <w:jc w:val="both"/>
              <w:rPr>
                <w:rFonts w:eastAsia="Times New Roman" w:cstheme="minorHAnsi"/>
                <w:lang w:eastAsia="tr-TR"/>
              </w:rPr>
            </w:pPr>
            <w:r w:rsidRPr="00A365A5">
              <w:rPr>
                <w:rFonts w:eastAsia="Times New Roman" w:cstheme="minorHAnsi"/>
                <w:lang w:eastAsia="tr-TR"/>
              </w:rPr>
              <w:t>Belediye atıklarının anaerobik arıtımından kaynaklanan sıvılar</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19 06 04</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Belediye atıklarının anaerobik arıtımından kaynaklanan posalar</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19 06 05</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Hayvansal ve bitkisel atıkların anaerobik arıtımından kaynaklanan sıvılar</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19 06 06</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Hayvansal ve bitkisel atıklarını anaerobik arıtımından kaynaklanan posalar</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19 06 99</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Başka bir şekilde tanımlanmamış atıklar</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b/>
                <w:bCs/>
                <w:lang w:eastAsia="tr-TR"/>
              </w:rPr>
              <w:t>19 07</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b/>
                <w:bCs/>
                <w:spacing w:val="-1"/>
                <w:lang w:eastAsia="tr-TR"/>
              </w:rPr>
              <w:t>Düzenli Depolama Sahası Süzüntü Suları</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19 07 03</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19 07 02 dışındaki düzenli depolama </w:t>
            </w:r>
            <w:r w:rsidRPr="00A365A5">
              <w:rPr>
                <w:rFonts w:eastAsia="Times New Roman" w:cstheme="minorHAnsi"/>
                <w:spacing w:val="-1"/>
                <w:lang w:eastAsia="tr-TR"/>
              </w:rPr>
              <w:t>sahası sızıntı</w:t>
            </w:r>
            <w:r w:rsidRPr="00A365A5">
              <w:rPr>
                <w:rFonts w:eastAsia="Times New Roman" w:cstheme="minorHAnsi"/>
                <w:lang w:eastAsia="tr-TR"/>
              </w:rPr>
              <w:t> suları</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b/>
                <w:bCs/>
                <w:lang w:eastAsia="tr-TR"/>
              </w:rPr>
              <w:t>20</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b/>
                <w:bCs/>
                <w:spacing w:val="-1"/>
                <w:lang w:eastAsia="tr-TR"/>
              </w:rPr>
              <w:t>AYRI TOPLANMIŞ FRAKSİYONLAR DAHİL BELEDİYE ATIKLARI (EVSEL ATIKLAR VE BENZER TİCARİ, ENDÜSTRİYEL VE KURUMSAL ATIKLAR)</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b/>
                <w:bCs/>
                <w:lang w:eastAsia="tr-TR"/>
              </w:rPr>
              <w:t>20 01</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ind w:left="180" w:hanging="180"/>
              <w:jc w:val="both"/>
              <w:rPr>
                <w:rFonts w:eastAsia="Times New Roman" w:cstheme="minorHAnsi"/>
                <w:lang w:eastAsia="tr-TR"/>
              </w:rPr>
            </w:pPr>
            <w:r w:rsidRPr="00A365A5">
              <w:rPr>
                <w:rFonts w:eastAsia="Times New Roman" w:cstheme="minorHAnsi"/>
                <w:b/>
                <w:bCs/>
                <w:spacing w:val="-1"/>
                <w:lang w:eastAsia="tr-TR"/>
              </w:rPr>
              <w:t>Ayrı Toplanan Fraksiyonlar (15 01 Hariç)</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20 01 08</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Biyolojik olarak bozunabilir mutfak ve kantin atıkları</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20 01 25</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Yenilebilir sıvı ve katı yağlar</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20 01 34</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20 01 33 </w:t>
            </w:r>
            <w:r w:rsidRPr="00A365A5">
              <w:rPr>
                <w:rFonts w:eastAsia="Times New Roman" w:cstheme="minorHAnsi"/>
                <w:spacing w:val="-1"/>
                <w:lang w:eastAsia="tr-TR"/>
              </w:rPr>
              <w:t>dışındaki</w:t>
            </w:r>
            <w:r w:rsidRPr="00A365A5">
              <w:rPr>
                <w:rFonts w:eastAsia="Times New Roman" w:cstheme="minorHAnsi"/>
                <w:lang w:eastAsia="tr-TR"/>
              </w:rPr>
              <w:t> pil ve akümülatörler</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20 01 41</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Baca temizliğinden kaynaklanan atıklar</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b/>
                <w:bCs/>
                <w:lang w:eastAsia="tr-TR"/>
              </w:rPr>
              <w:t>20 02</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b/>
                <w:bCs/>
                <w:lang w:eastAsia="tr-TR"/>
              </w:rPr>
              <w:t>Bahçe ve Park Atıkları (Mezarlık Atıkları Dahil)</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20 02 01</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ind w:left="1440" w:hanging="1440"/>
              <w:jc w:val="both"/>
              <w:rPr>
                <w:rFonts w:eastAsia="Times New Roman" w:cstheme="minorHAnsi"/>
                <w:lang w:eastAsia="tr-TR"/>
              </w:rPr>
            </w:pPr>
            <w:r w:rsidRPr="00A365A5">
              <w:rPr>
                <w:rFonts w:eastAsia="Times New Roman" w:cstheme="minorHAnsi"/>
                <w:lang w:eastAsia="tr-TR"/>
              </w:rPr>
              <w:t>Biyolojik olarak bozunabilir atıklar</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20 02 02</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Toprak ve taşlar</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20 02 03</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Biyolojik olarak bozunamayan diğer atıklar</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b/>
                <w:bCs/>
                <w:lang w:eastAsia="tr-TR"/>
              </w:rPr>
              <w:t>20 03</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b/>
                <w:bCs/>
                <w:lang w:eastAsia="tr-TR"/>
              </w:rPr>
              <w:t>Diğer Belediye Atıkları</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20 03 01</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ind w:left="1440" w:hanging="1440"/>
              <w:jc w:val="both"/>
              <w:rPr>
                <w:rFonts w:eastAsia="Times New Roman" w:cstheme="minorHAnsi"/>
                <w:lang w:eastAsia="tr-TR"/>
              </w:rPr>
            </w:pPr>
            <w:r w:rsidRPr="00A365A5">
              <w:rPr>
                <w:rFonts w:eastAsia="Times New Roman" w:cstheme="minorHAnsi"/>
                <w:lang w:eastAsia="tr-TR"/>
              </w:rPr>
              <w:t>Karışık belediye atıkları</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20 03 02</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Pazarlardan kaynaklanan atıklar</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20 03 03</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Sokak temizleme kalıntıları</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20 03 07</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Hacimli atıklar</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 </w:t>
            </w:r>
          </w:p>
        </w:tc>
      </w:tr>
      <w:tr w:rsidR="00A365A5" w:rsidRPr="00A365A5" w:rsidTr="008D5F56">
        <w:trPr>
          <w:cantSplit/>
          <w:jc w:val="center"/>
        </w:trPr>
        <w:tc>
          <w:tcPr>
            <w:tcW w:w="12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center"/>
              <w:rPr>
                <w:rFonts w:eastAsia="Times New Roman" w:cstheme="minorHAnsi"/>
                <w:lang w:eastAsia="tr-TR"/>
              </w:rPr>
            </w:pPr>
            <w:r w:rsidRPr="00A365A5">
              <w:rPr>
                <w:rFonts w:eastAsia="Times New Roman" w:cstheme="minorHAnsi"/>
                <w:lang w:eastAsia="tr-TR"/>
              </w:rPr>
              <w:t>20 03 99</w:t>
            </w:r>
          </w:p>
        </w:tc>
        <w:tc>
          <w:tcPr>
            <w:tcW w:w="6964"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Başka bir şekilde tanımlanmamış belediye atıkları</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8D5F56" w:rsidRPr="00A365A5" w:rsidRDefault="008D5F56" w:rsidP="008D5F56">
            <w:pPr>
              <w:spacing w:after="0" w:line="240" w:lineRule="auto"/>
              <w:jc w:val="both"/>
              <w:rPr>
                <w:rFonts w:eastAsia="Times New Roman" w:cstheme="minorHAnsi"/>
                <w:lang w:eastAsia="tr-TR"/>
              </w:rPr>
            </w:pPr>
            <w:r w:rsidRPr="00A365A5">
              <w:rPr>
                <w:rFonts w:eastAsia="Times New Roman" w:cstheme="minorHAnsi"/>
                <w:lang w:eastAsia="tr-TR"/>
              </w:rPr>
              <w:t> </w:t>
            </w:r>
          </w:p>
        </w:tc>
      </w:tr>
    </w:tbl>
    <w:p w:rsidR="008D5F56" w:rsidRPr="00A365A5" w:rsidRDefault="008D5F56" w:rsidP="008D5F56">
      <w:pPr>
        <w:spacing w:line="240" w:lineRule="auto"/>
        <w:rPr>
          <w:rFonts w:cstheme="minorHAnsi"/>
        </w:rPr>
      </w:pPr>
    </w:p>
    <w:sectPr w:rsidR="008D5F56" w:rsidRPr="00A365A5" w:rsidSect="008D5F56">
      <w:footerReference w:type="default" r:id="rId6"/>
      <w:pgSz w:w="11906" w:h="16838"/>
      <w:pgMar w:top="851"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2DB" w:rsidRDefault="008A22DB" w:rsidP="008D5F56">
      <w:pPr>
        <w:spacing w:after="0" w:line="240" w:lineRule="auto"/>
      </w:pPr>
      <w:r>
        <w:separator/>
      </w:r>
    </w:p>
  </w:endnote>
  <w:endnote w:type="continuationSeparator" w:id="1">
    <w:p w:rsidR="008A22DB" w:rsidRDefault="008A22DB" w:rsidP="008D5F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462289"/>
      <w:docPartObj>
        <w:docPartGallery w:val="Page Numbers (Bottom of Page)"/>
        <w:docPartUnique/>
      </w:docPartObj>
    </w:sdtPr>
    <w:sdtContent>
      <w:sdt>
        <w:sdtPr>
          <w:id w:val="860082579"/>
          <w:docPartObj>
            <w:docPartGallery w:val="Page Numbers (Top of Page)"/>
            <w:docPartUnique/>
          </w:docPartObj>
        </w:sdtPr>
        <w:sdtContent>
          <w:p w:rsidR="00305E10" w:rsidRPr="008D5F56" w:rsidRDefault="00695119">
            <w:pPr>
              <w:pStyle w:val="Altbilgi"/>
              <w:jc w:val="right"/>
            </w:pPr>
            <w:r w:rsidRPr="008D5F56">
              <w:rPr>
                <w:bCs/>
                <w:sz w:val="24"/>
                <w:szCs w:val="24"/>
              </w:rPr>
              <w:fldChar w:fldCharType="begin"/>
            </w:r>
            <w:r w:rsidR="00305E10" w:rsidRPr="008D5F56">
              <w:rPr>
                <w:bCs/>
              </w:rPr>
              <w:instrText>PAGE</w:instrText>
            </w:r>
            <w:r w:rsidRPr="008D5F56">
              <w:rPr>
                <w:bCs/>
                <w:sz w:val="24"/>
                <w:szCs w:val="24"/>
              </w:rPr>
              <w:fldChar w:fldCharType="separate"/>
            </w:r>
            <w:r w:rsidR="00F74B91">
              <w:rPr>
                <w:bCs/>
                <w:noProof/>
              </w:rPr>
              <w:t>9</w:t>
            </w:r>
            <w:r w:rsidRPr="008D5F56">
              <w:rPr>
                <w:bCs/>
                <w:sz w:val="24"/>
                <w:szCs w:val="24"/>
              </w:rPr>
              <w:fldChar w:fldCharType="end"/>
            </w:r>
            <w:r w:rsidR="00305E10" w:rsidRPr="008D5F56">
              <w:t xml:space="preserve"> / </w:t>
            </w:r>
            <w:r w:rsidRPr="008D5F56">
              <w:rPr>
                <w:bCs/>
                <w:sz w:val="24"/>
                <w:szCs w:val="24"/>
              </w:rPr>
              <w:fldChar w:fldCharType="begin"/>
            </w:r>
            <w:r w:rsidR="00305E10" w:rsidRPr="008D5F56">
              <w:rPr>
                <w:bCs/>
              </w:rPr>
              <w:instrText>NUMPAGES</w:instrText>
            </w:r>
            <w:r w:rsidRPr="008D5F56">
              <w:rPr>
                <w:bCs/>
                <w:sz w:val="24"/>
                <w:szCs w:val="24"/>
              </w:rPr>
              <w:fldChar w:fldCharType="separate"/>
            </w:r>
            <w:r w:rsidR="00F74B91">
              <w:rPr>
                <w:bCs/>
                <w:noProof/>
              </w:rPr>
              <w:t>9</w:t>
            </w:r>
            <w:r w:rsidRPr="008D5F56">
              <w:rPr>
                <w:bCs/>
                <w:sz w:val="24"/>
                <w:szCs w:val="24"/>
              </w:rPr>
              <w:fldChar w:fldCharType="end"/>
            </w:r>
          </w:p>
        </w:sdtContent>
      </w:sdt>
    </w:sdtContent>
  </w:sdt>
  <w:p w:rsidR="00305E10" w:rsidRDefault="00305E1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2DB" w:rsidRDefault="008A22DB" w:rsidP="008D5F56">
      <w:pPr>
        <w:spacing w:after="0" w:line="240" w:lineRule="auto"/>
      </w:pPr>
      <w:r>
        <w:separator/>
      </w:r>
    </w:p>
  </w:footnote>
  <w:footnote w:type="continuationSeparator" w:id="1">
    <w:p w:rsidR="008A22DB" w:rsidRDefault="008A22DB" w:rsidP="008D5F5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D5F56"/>
    <w:rsid w:val="00305E10"/>
    <w:rsid w:val="00335C35"/>
    <w:rsid w:val="004E4C88"/>
    <w:rsid w:val="00644C4F"/>
    <w:rsid w:val="00695119"/>
    <w:rsid w:val="008A22DB"/>
    <w:rsid w:val="008D5F56"/>
    <w:rsid w:val="00A3630C"/>
    <w:rsid w:val="00A365A5"/>
    <w:rsid w:val="00B739EB"/>
    <w:rsid w:val="00EA0A16"/>
    <w:rsid w:val="00EE0E30"/>
    <w:rsid w:val="00F74B91"/>
    <w:rsid w:val="00F873F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1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8D5F56"/>
  </w:style>
  <w:style w:type="character" w:customStyle="1" w:styleId="apple-converted-space">
    <w:name w:val="apple-converted-space"/>
    <w:basedOn w:val="VarsaylanParagrafYazTipi"/>
    <w:rsid w:val="008D5F56"/>
  </w:style>
  <w:style w:type="character" w:customStyle="1" w:styleId="spelle">
    <w:name w:val="spelle"/>
    <w:basedOn w:val="VarsaylanParagrafYazTipi"/>
    <w:rsid w:val="008D5F56"/>
  </w:style>
  <w:style w:type="paragraph" w:styleId="stbilgi">
    <w:name w:val="header"/>
    <w:basedOn w:val="Normal"/>
    <w:link w:val="stbilgiChar"/>
    <w:uiPriority w:val="99"/>
    <w:unhideWhenUsed/>
    <w:rsid w:val="008D5F5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5F56"/>
  </w:style>
  <w:style w:type="paragraph" w:styleId="Altbilgi">
    <w:name w:val="footer"/>
    <w:basedOn w:val="Normal"/>
    <w:link w:val="AltbilgiChar"/>
    <w:uiPriority w:val="99"/>
    <w:unhideWhenUsed/>
    <w:rsid w:val="008D5F5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5F56"/>
  </w:style>
  <w:style w:type="paragraph" w:styleId="ListeParagraf">
    <w:name w:val="List Paragraph"/>
    <w:basedOn w:val="Normal"/>
    <w:uiPriority w:val="34"/>
    <w:qFormat/>
    <w:rsid w:val="00305E1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8D5F56"/>
  </w:style>
  <w:style w:type="character" w:customStyle="1" w:styleId="apple-converted-space">
    <w:name w:val="apple-converted-space"/>
    <w:basedOn w:val="VarsaylanParagrafYazTipi"/>
    <w:rsid w:val="008D5F56"/>
  </w:style>
  <w:style w:type="character" w:customStyle="1" w:styleId="spelle">
    <w:name w:val="spelle"/>
    <w:basedOn w:val="VarsaylanParagrafYazTipi"/>
    <w:rsid w:val="008D5F56"/>
  </w:style>
  <w:style w:type="paragraph" w:styleId="stbilgi">
    <w:name w:val="header"/>
    <w:basedOn w:val="Normal"/>
    <w:link w:val="stbilgiChar"/>
    <w:uiPriority w:val="99"/>
    <w:unhideWhenUsed/>
    <w:rsid w:val="008D5F5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5F56"/>
  </w:style>
  <w:style w:type="paragraph" w:styleId="Altbilgi">
    <w:name w:val="footer"/>
    <w:basedOn w:val="Normal"/>
    <w:link w:val="AltbilgiChar"/>
    <w:uiPriority w:val="99"/>
    <w:unhideWhenUsed/>
    <w:rsid w:val="008D5F5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5F56"/>
  </w:style>
  <w:style w:type="paragraph" w:styleId="ListeParagraf">
    <w:name w:val="List Paragraph"/>
    <w:basedOn w:val="Normal"/>
    <w:uiPriority w:val="34"/>
    <w:qFormat/>
    <w:rsid w:val="00305E1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36271923">
      <w:bodyDiv w:val="1"/>
      <w:marLeft w:val="0"/>
      <w:marRight w:val="0"/>
      <w:marTop w:val="0"/>
      <w:marBottom w:val="0"/>
      <w:divBdr>
        <w:top w:val="none" w:sz="0" w:space="0" w:color="auto"/>
        <w:left w:val="none" w:sz="0" w:space="0" w:color="auto"/>
        <w:bottom w:val="none" w:sz="0" w:space="0" w:color="auto"/>
        <w:right w:val="none" w:sz="0" w:space="0" w:color="auto"/>
      </w:divBdr>
    </w:div>
    <w:div w:id="817571799">
      <w:bodyDiv w:val="1"/>
      <w:marLeft w:val="0"/>
      <w:marRight w:val="0"/>
      <w:marTop w:val="0"/>
      <w:marBottom w:val="0"/>
      <w:divBdr>
        <w:top w:val="none" w:sz="0" w:space="0" w:color="auto"/>
        <w:left w:val="none" w:sz="0" w:space="0" w:color="auto"/>
        <w:bottom w:val="none" w:sz="0" w:space="0" w:color="auto"/>
        <w:right w:val="none" w:sz="0" w:space="0" w:color="auto"/>
      </w:divBdr>
    </w:div>
    <w:div w:id="1504201694">
      <w:bodyDiv w:val="1"/>
      <w:marLeft w:val="0"/>
      <w:marRight w:val="0"/>
      <w:marTop w:val="0"/>
      <w:marBottom w:val="0"/>
      <w:divBdr>
        <w:top w:val="none" w:sz="0" w:space="0" w:color="auto"/>
        <w:left w:val="none" w:sz="0" w:space="0" w:color="auto"/>
        <w:bottom w:val="none" w:sz="0" w:space="0" w:color="auto"/>
        <w:right w:val="none" w:sz="0" w:space="0" w:color="auto"/>
      </w:divBdr>
    </w:div>
    <w:div w:id="1690914900">
      <w:bodyDiv w:val="1"/>
      <w:marLeft w:val="0"/>
      <w:marRight w:val="0"/>
      <w:marTop w:val="0"/>
      <w:marBottom w:val="0"/>
      <w:divBdr>
        <w:top w:val="none" w:sz="0" w:space="0" w:color="auto"/>
        <w:left w:val="none" w:sz="0" w:space="0" w:color="auto"/>
        <w:bottom w:val="none" w:sz="0" w:space="0" w:color="auto"/>
        <w:right w:val="none" w:sz="0" w:space="0" w:color="auto"/>
      </w:divBdr>
    </w:div>
    <w:div w:id="1882207880">
      <w:bodyDiv w:val="1"/>
      <w:marLeft w:val="0"/>
      <w:marRight w:val="0"/>
      <w:marTop w:val="0"/>
      <w:marBottom w:val="0"/>
      <w:divBdr>
        <w:top w:val="none" w:sz="0" w:space="0" w:color="auto"/>
        <w:left w:val="none" w:sz="0" w:space="0" w:color="auto"/>
        <w:bottom w:val="none" w:sz="0" w:space="0" w:color="auto"/>
        <w:right w:val="none" w:sz="0" w:space="0" w:color="auto"/>
      </w:divBdr>
    </w:div>
    <w:div w:id="199217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3178</Words>
  <Characters>18119</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Oğuzhan Akınç</dc:creator>
  <cp:lastModifiedBy>User</cp:lastModifiedBy>
  <cp:revision>2</cp:revision>
  <cp:lastPrinted>2014-04-04T11:18:00Z</cp:lastPrinted>
  <dcterms:created xsi:type="dcterms:W3CDTF">2015-03-16T11:24:00Z</dcterms:created>
  <dcterms:modified xsi:type="dcterms:W3CDTF">2015-03-16T11:24:00Z</dcterms:modified>
</cp:coreProperties>
</file>